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215F" w14:textId="0215F442" w:rsidR="004D15A9" w:rsidRPr="00706AC9" w:rsidRDefault="003D4869" w:rsidP="00843976">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hAnsi="Times New Roman" w:cs="Times New Roman"/>
          <w:b/>
          <w:color w:val="000000"/>
          <w:sz w:val="24"/>
          <w:szCs w:val="24"/>
        </w:rPr>
        <w:t xml:space="preserve"> </w:t>
      </w:r>
      <w:r w:rsidR="000F2217" w:rsidRPr="00706AC9">
        <w:rPr>
          <w:rFonts w:ascii="Times New Roman" w:hAnsi="Times New Roman" w:cs="Times New Roman"/>
          <w:b/>
          <w:color w:val="000000"/>
          <w:sz w:val="24"/>
          <w:szCs w:val="24"/>
        </w:rPr>
        <w:t xml:space="preserve">Likumprojekta "Grozījumi </w:t>
      </w:r>
      <w:r w:rsidR="00B220C7" w:rsidRPr="00706AC9">
        <w:rPr>
          <w:rFonts w:ascii="Times New Roman" w:hAnsi="Times New Roman" w:cs="Times New Roman"/>
          <w:b/>
          <w:color w:val="000000"/>
          <w:sz w:val="24"/>
          <w:szCs w:val="24"/>
        </w:rPr>
        <w:t>Kriminālprocesa</w:t>
      </w:r>
      <w:r w:rsidR="000F2217" w:rsidRPr="00706AC9">
        <w:rPr>
          <w:rFonts w:ascii="Times New Roman" w:hAnsi="Times New Roman" w:cs="Times New Roman"/>
          <w:b/>
          <w:color w:val="000000"/>
          <w:sz w:val="24"/>
          <w:szCs w:val="24"/>
        </w:rPr>
        <w:t xml:space="preserve"> likumā"</w:t>
      </w:r>
      <w:r w:rsidR="004D15A9" w:rsidRPr="00706AC9">
        <w:rPr>
          <w:rFonts w:ascii="Times New Roman" w:eastAsia="Times New Roman" w:hAnsi="Times New Roman" w:cs="Times New Roman"/>
          <w:b/>
          <w:bCs/>
          <w:sz w:val="24"/>
          <w:szCs w:val="24"/>
          <w:lang w:eastAsia="lv-LV"/>
        </w:rPr>
        <w:t xml:space="preserve"> sākotnējās ietekmes novērtējuma ziņojums (anotācija)</w:t>
      </w:r>
    </w:p>
    <w:p w14:paraId="42AFF49E" w14:textId="4DBF6201" w:rsidR="00A1552F" w:rsidRPr="00706AC9" w:rsidRDefault="00A1552F" w:rsidP="00843976">
      <w:pPr>
        <w:spacing w:after="0" w:line="240" w:lineRule="auto"/>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706AC9" w14:paraId="70BDCC6E" w14:textId="77777777" w:rsidTr="00A1552F">
        <w:trPr>
          <w:cantSplit/>
        </w:trPr>
        <w:tc>
          <w:tcPr>
            <w:tcW w:w="9061" w:type="dxa"/>
            <w:gridSpan w:val="2"/>
            <w:shd w:val="clear" w:color="auto" w:fill="FFFFFF"/>
            <w:vAlign w:val="center"/>
            <w:hideMark/>
          </w:tcPr>
          <w:p w14:paraId="2E3635E1" w14:textId="77777777" w:rsidR="00A1552F" w:rsidRPr="00706AC9" w:rsidRDefault="00A1552F" w:rsidP="00843976">
            <w:pPr>
              <w:spacing w:after="0" w:line="240" w:lineRule="auto"/>
              <w:ind w:firstLine="300"/>
              <w:jc w:val="center"/>
              <w:rPr>
                <w:rFonts w:ascii="Cambria" w:hAnsi="Cambria"/>
                <w:b/>
                <w:iCs/>
                <w:sz w:val="19"/>
                <w:szCs w:val="19"/>
              </w:rPr>
            </w:pPr>
            <w:r w:rsidRPr="00706AC9">
              <w:rPr>
                <w:rFonts w:ascii="Times New Roman" w:eastAsia="Times New Roman" w:hAnsi="Times New Roman" w:cs="Times New Roman"/>
                <w:b/>
                <w:bCs/>
                <w:sz w:val="24"/>
                <w:szCs w:val="24"/>
                <w:lang w:eastAsia="lv-LV"/>
              </w:rPr>
              <w:t>Tiesību akta projekta anotācijas kopsavilkums</w:t>
            </w:r>
          </w:p>
        </w:tc>
      </w:tr>
      <w:tr w:rsidR="00A1552F" w:rsidRPr="00706AC9" w14:paraId="47F047DD" w14:textId="77777777" w:rsidTr="00E9181C">
        <w:trPr>
          <w:cantSplit/>
        </w:trPr>
        <w:tc>
          <w:tcPr>
            <w:tcW w:w="2830" w:type="dxa"/>
            <w:shd w:val="clear" w:color="auto" w:fill="FFFFFF"/>
            <w:hideMark/>
          </w:tcPr>
          <w:p w14:paraId="3C58940B" w14:textId="77777777" w:rsidR="00A1552F" w:rsidRPr="00706AC9" w:rsidRDefault="00A1552F"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2D343C0B" w14:textId="3681B14E" w:rsidR="0009705A" w:rsidRPr="00313EA0" w:rsidRDefault="0009705A" w:rsidP="00CD5A0C">
            <w:pPr>
              <w:spacing w:after="0" w:line="240" w:lineRule="auto"/>
              <w:jc w:val="both"/>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Likumprojekts</w:t>
            </w:r>
            <w:r w:rsidR="007E0ADB">
              <w:rPr>
                <w:rFonts w:ascii="Times New Roman" w:eastAsia="Times New Roman" w:hAnsi="Times New Roman" w:cs="Times New Roman"/>
                <w:sz w:val="24"/>
                <w:szCs w:val="24"/>
                <w:lang w:eastAsia="lv-LV"/>
              </w:rPr>
              <w:t xml:space="preserve"> "Grozījumi Kriminālprocesa likumā" (turpmāk – likumprojekts)</w:t>
            </w:r>
            <w:r w:rsidRPr="00706AC9">
              <w:rPr>
                <w:rFonts w:ascii="Times New Roman" w:eastAsia="Times New Roman" w:hAnsi="Times New Roman" w:cs="Times New Roman"/>
                <w:sz w:val="24"/>
                <w:szCs w:val="24"/>
                <w:lang w:eastAsia="lv-LV"/>
              </w:rPr>
              <w:t xml:space="preserve"> izstrādāts </w:t>
            </w:r>
            <w:r w:rsidR="00313EA0">
              <w:rPr>
                <w:rFonts w:ascii="Times New Roman" w:eastAsia="Times New Roman" w:hAnsi="Times New Roman" w:cs="Times New Roman"/>
                <w:sz w:val="24"/>
                <w:szCs w:val="24"/>
                <w:lang w:eastAsia="lv-LV"/>
              </w:rPr>
              <w:t>ar mērķi pilnveidot kriminālprocesuālo regulējumu attiecībā uz procesu par piespiedu ietekmēšanas līdzekļa piemērošanu juridiskajai personai, nosakot jaunu procesuālo sankciju veidu – nodrošinājuma līdzekļi juridiskajai personai</w:t>
            </w:r>
            <w:r w:rsidR="00F05293">
              <w:rPr>
                <w:rFonts w:ascii="Times New Roman" w:eastAsia="Times New Roman" w:hAnsi="Times New Roman" w:cs="Times New Roman"/>
                <w:sz w:val="24"/>
                <w:szCs w:val="24"/>
                <w:lang w:eastAsia="lv-LV"/>
              </w:rPr>
              <w:t xml:space="preserve">, </w:t>
            </w:r>
            <w:r w:rsidR="00CD5A0C">
              <w:rPr>
                <w:rFonts w:ascii="Times New Roman" w:eastAsia="Times New Roman" w:hAnsi="Times New Roman" w:cs="Times New Roman"/>
                <w:sz w:val="24"/>
                <w:szCs w:val="24"/>
                <w:lang w:eastAsia="lv-LV"/>
              </w:rPr>
              <w:t xml:space="preserve">izpildīt </w:t>
            </w:r>
            <w:r w:rsidR="00CD5A0C" w:rsidRPr="00CD5A0C">
              <w:rPr>
                <w:rFonts w:ascii="Times New Roman" w:eastAsia="Times New Roman" w:hAnsi="Times New Roman" w:cs="Times New Roman"/>
                <w:sz w:val="24"/>
                <w:szCs w:val="24"/>
                <w:lang w:eastAsia="lv-LV"/>
              </w:rPr>
              <w:t xml:space="preserve">Valsts kontroles lietderības revīzijā “Noziedzīgu nodarījumu ekonomikas un finanšu jomā izmeklēšanas un iztiesāšanas efektivitāte” (turpmāk </w:t>
            </w:r>
            <w:r w:rsidR="00CD5A0C">
              <w:rPr>
                <w:rFonts w:ascii="Times New Roman" w:eastAsia="Times New Roman" w:hAnsi="Times New Roman" w:cs="Times New Roman"/>
                <w:sz w:val="24"/>
                <w:szCs w:val="24"/>
                <w:lang w:eastAsia="lv-LV"/>
              </w:rPr>
              <w:t xml:space="preserve">- </w:t>
            </w:r>
            <w:r w:rsidR="00CD5A0C" w:rsidRPr="00CD5A0C">
              <w:rPr>
                <w:rFonts w:ascii="Times New Roman" w:eastAsia="Times New Roman" w:hAnsi="Times New Roman" w:cs="Times New Roman"/>
                <w:sz w:val="24"/>
                <w:szCs w:val="24"/>
                <w:lang w:eastAsia="lv-LV"/>
              </w:rPr>
              <w:t xml:space="preserve">Valsts kontroles revīzija) ietverto priekšlikumu ieviešanas plānu attiecībā uz nepieciešamiem grozījumiem Kriminālprocesa likumā (turpmāk – KPL), veikt nepieciešamos grozījumus KPL 59.nodaļā saistībā ar procesu par noziedzīgi iegūtu mantu, veikt grozījumus saistībā ar kasācijas </w:t>
            </w:r>
            <w:r w:rsidR="00CD5A0C">
              <w:rPr>
                <w:rFonts w:ascii="Times New Roman" w:eastAsia="Times New Roman" w:hAnsi="Times New Roman" w:cs="Times New Roman"/>
                <w:sz w:val="24"/>
                <w:szCs w:val="24"/>
                <w:lang w:eastAsia="lv-LV"/>
              </w:rPr>
              <w:t xml:space="preserve">instances </w:t>
            </w:r>
            <w:r w:rsidR="00CD5A0C" w:rsidRPr="00CD5A0C">
              <w:rPr>
                <w:rFonts w:ascii="Times New Roman" w:eastAsia="Times New Roman" w:hAnsi="Times New Roman" w:cs="Times New Roman"/>
                <w:sz w:val="24"/>
                <w:szCs w:val="24"/>
                <w:lang w:eastAsia="lv-LV"/>
              </w:rPr>
              <w:t>tiesībām lietas izskatīt paplašinātā sastāvā un paust atsevišķās domas, sūdzību par vienošanās procesu pārsūdzības kompetences maiņu,</w:t>
            </w:r>
            <w:r w:rsidR="00CD5A0C">
              <w:rPr>
                <w:rFonts w:ascii="Times New Roman" w:eastAsia="Times New Roman" w:hAnsi="Times New Roman" w:cs="Times New Roman"/>
                <w:b/>
                <w:bCs/>
                <w:sz w:val="24"/>
                <w:szCs w:val="24"/>
                <w:lang w:eastAsia="lv-LV"/>
              </w:rPr>
              <w:t xml:space="preserve"> </w:t>
            </w:r>
            <w:r w:rsidR="00F05293">
              <w:rPr>
                <w:rFonts w:ascii="Times New Roman" w:eastAsia="Times New Roman" w:hAnsi="Times New Roman" w:cs="Times New Roman"/>
                <w:sz w:val="24"/>
                <w:szCs w:val="24"/>
                <w:lang w:eastAsia="lv-LV"/>
              </w:rPr>
              <w:t>kā arī veikt citus nepieciešamos grozījumus.</w:t>
            </w:r>
            <w:r w:rsidR="0086394B" w:rsidRPr="00706AC9">
              <w:rPr>
                <w:rFonts w:ascii="Times New Roman" w:hAnsi="Times New Roman" w:cs="Times New Roman"/>
                <w:sz w:val="24"/>
                <w:szCs w:val="24"/>
              </w:rPr>
              <w:t xml:space="preserve"> </w:t>
            </w:r>
            <w:r w:rsidR="00B26522" w:rsidRPr="00706AC9">
              <w:rPr>
                <w:rFonts w:ascii="Times New Roman" w:eastAsia="Times New Roman" w:hAnsi="Times New Roman" w:cs="Times New Roman"/>
                <w:iCs/>
                <w:sz w:val="24"/>
                <w:szCs w:val="24"/>
                <w:lang w:eastAsia="lv-LV"/>
              </w:rPr>
              <w:t>Likumprojekts stājas spēkā vispārējā kārtībā.</w:t>
            </w:r>
          </w:p>
        </w:tc>
      </w:tr>
    </w:tbl>
    <w:p w14:paraId="38674108" w14:textId="2268D6A9" w:rsidR="00A1552F" w:rsidRPr="00706AC9" w:rsidRDefault="00A1552F" w:rsidP="00843976">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706AC9"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706AC9" w:rsidRDefault="004D15A9" w:rsidP="00843976">
            <w:pPr>
              <w:spacing w:after="0" w:line="240" w:lineRule="auto"/>
              <w:ind w:firstLine="300"/>
              <w:jc w:val="center"/>
              <w:rPr>
                <w:rFonts w:ascii="Times New Roman" w:eastAsia="Times New Roman" w:hAnsi="Times New Roman" w:cs="Times New Roman"/>
                <w:b/>
                <w:bCs/>
                <w:sz w:val="24"/>
                <w:szCs w:val="24"/>
                <w:lang w:eastAsia="lv-LV"/>
              </w:rPr>
            </w:pPr>
            <w:r w:rsidRPr="00706AC9">
              <w:rPr>
                <w:rFonts w:ascii="Times New Roman" w:eastAsia="Times New Roman" w:hAnsi="Times New Roman" w:cs="Times New Roman"/>
                <w:b/>
                <w:bCs/>
                <w:sz w:val="24"/>
                <w:szCs w:val="24"/>
                <w:lang w:eastAsia="lv-LV"/>
              </w:rPr>
              <w:t>I. Tiesību akta projekta izstrādes nepieciešamība</w:t>
            </w:r>
          </w:p>
        </w:tc>
      </w:tr>
      <w:tr w:rsidR="00DA326E" w:rsidRPr="00706AC9"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210C8B" w:rsidRDefault="004D15A9" w:rsidP="00843976">
            <w:pPr>
              <w:spacing w:after="0" w:line="240" w:lineRule="auto"/>
              <w:rPr>
                <w:rFonts w:ascii="Times New Roman" w:eastAsia="Times New Roman" w:hAnsi="Times New Roman" w:cs="Times New Roman"/>
                <w:sz w:val="24"/>
                <w:szCs w:val="24"/>
                <w:lang w:eastAsia="lv-LV"/>
              </w:rPr>
            </w:pPr>
            <w:r w:rsidRPr="00210C8B">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210C8B" w:rsidRDefault="004D15A9" w:rsidP="00843976">
            <w:pPr>
              <w:spacing w:after="0" w:line="240" w:lineRule="auto"/>
              <w:rPr>
                <w:rFonts w:ascii="Times New Roman" w:eastAsia="Times New Roman" w:hAnsi="Times New Roman" w:cs="Times New Roman"/>
                <w:sz w:val="24"/>
                <w:szCs w:val="24"/>
                <w:lang w:eastAsia="lv-LV"/>
              </w:rPr>
            </w:pPr>
            <w:r w:rsidRPr="00210C8B">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09A9168A" w14:textId="5F8D1298" w:rsidR="00CD5A0C" w:rsidRPr="000F5E4B" w:rsidRDefault="00081327" w:rsidP="00843976">
            <w:pPr>
              <w:spacing w:after="0" w:line="240" w:lineRule="auto"/>
              <w:jc w:val="both"/>
              <w:rPr>
                <w:rFonts w:ascii="Times New Roman" w:hAnsi="Times New Roman" w:cs="Times New Roman"/>
                <w:sz w:val="24"/>
                <w:szCs w:val="24"/>
              </w:rPr>
            </w:pPr>
            <w:r w:rsidRPr="000F5E4B">
              <w:rPr>
                <w:rFonts w:ascii="Times New Roman" w:hAnsi="Times New Roman" w:cs="Times New Roman"/>
                <w:sz w:val="24"/>
                <w:szCs w:val="24"/>
              </w:rPr>
              <w:t xml:space="preserve">Likumprojekts ir sagatavots pēc Tieslietu ministrijas iniciatīvas </w:t>
            </w:r>
            <w:r w:rsidR="00CD5A0C" w:rsidRPr="000F5E4B">
              <w:rPr>
                <w:rFonts w:ascii="Times New Roman" w:hAnsi="Times New Roman" w:cs="Times New Roman"/>
                <w:sz w:val="24"/>
                <w:szCs w:val="24"/>
              </w:rPr>
              <w:t xml:space="preserve">aptverot vairākus nepieciešamos grozījumus KPL. </w:t>
            </w:r>
          </w:p>
          <w:p w14:paraId="31C12D9B" w14:textId="094A5531" w:rsidR="00CD5A0C" w:rsidRPr="000F5E4B" w:rsidRDefault="00CD5A0C" w:rsidP="00843976">
            <w:pPr>
              <w:spacing w:after="0" w:line="240" w:lineRule="auto"/>
              <w:jc w:val="both"/>
              <w:rPr>
                <w:rFonts w:ascii="Times New Roman" w:hAnsi="Times New Roman" w:cs="Times New Roman"/>
                <w:sz w:val="24"/>
                <w:szCs w:val="24"/>
              </w:rPr>
            </w:pPr>
            <w:r w:rsidRPr="000F5E4B">
              <w:rPr>
                <w:rFonts w:ascii="Times New Roman" w:hAnsi="Times New Roman" w:cs="Times New Roman"/>
                <w:sz w:val="24"/>
                <w:szCs w:val="24"/>
              </w:rPr>
              <w:t>Likumprojekts ir sagatavots ar</w:t>
            </w:r>
            <w:r w:rsidR="00081327" w:rsidRPr="000F5E4B">
              <w:rPr>
                <w:rFonts w:ascii="Times New Roman" w:hAnsi="Times New Roman" w:cs="Times New Roman"/>
                <w:sz w:val="24"/>
                <w:szCs w:val="24"/>
              </w:rPr>
              <w:t xml:space="preserve"> mērķi </w:t>
            </w:r>
            <w:r w:rsidR="00081327" w:rsidRPr="000F5E4B">
              <w:rPr>
                <w:rFonts w:ascii="Times New Roman" w:eastAsia="Times New Roman" w:hAnsi="Times New Roman" w:cs="Times New Roman"/>
                <w:sz w:val="24"/>
                <w:szCs w:val="24"/>
                <w:lang w:eastAsia="lv-LV"/>
              </w:rPr>
              <w:t>pilnveidot kriminālprocesuālo regulējumu attiecībā uz procesu par piespiedu ietekmēšanas līdzekļa piemērošanu juridiskajai personai, nosakot jaunu procesuālo sankciju veidu – nodrošinājuma līdzekļi juridiskajai personai</w:t>
            </w:r>
            <w:r w:rsidR="00081327" w:rsidRPr="000F5E4B">
              <w:rPr>
                <w:rFonts w:ascii="Times New Roman" w:hAnsi="Times New Roman" w:cs="Times New Roman"/>
                <w:sz w:val="24"/>
                <w:szCs w:val="24"/>
              </w:rPr>
              <w:t>.</w:t>
            </w:r>
            <w:r w:rsidR="00F05293" w:rsidRPr="000F5E4B">
              <w:rPr>
                <w:rFonts w:ascii="Times New Roman" w:hAnsi="Times New Roman" w:cs="Times New Roman"/>
                <w:sz w:val="24"/>
                <w:szCs w:val="24"/>
              </w:rPr>
              <w:t xml:space="preserve"> </w:t>
            </w:r>
          </w:p>
          <w:p w14:paraId="14D4536D" w14:textId="1188692F" w:rsidR="00CD5A0C" w:rsidRPr="000F5E4B" w:rsidRDefault="00CD5A0C" w:rsidP="00843976">
            <w:pPr>
              <w:spacing w:after="0" w:line="240" w:lineRule="auto"/>
              <w:jc w:val="both"/>
              <w:rPr>
                <w:rFonts w:ascii="Times New Roman" w:eastAsia="Times New Roman" w:hAnsi="Times New Roman" w:cs="Times New Roman"/>
                <w:sz w:val="24"/>
                <w:szCs w:val="24"/>
                <w:lang w:eastAsia="lv-LV"/>
              </w:rPr>
            </w:pPr>
            <w:r w:rsidRPr="000F5E4B">
              <w:rPr>
                <w:rFonts w:ascii="Times New Roman" w:hAnsi="Times New Roman" w:cs="Times New Roman"/>
                <w:sz w:val="24"/>
                <w:szCs w:val="24"/>
              </w:rPr>
              <w:t xml:space="preserve">Likumprojekts ir sagatavots ar mērķi izpildīt </w:t>
            </w:r>
            <w:r w:rsidRPr="000F5E4B">
              <w:rPr>
                <w:rFonts w:ascii="Times New Roman" w:eastAsia="Times New Roman" w:hAnsi="Times New Roman" w:cs="Times New Roman"/>
                <w:sz w:val="24"/>
                <w:szCs w:val="24"/>
                <w:lang w:eastAsia="lv-LV"/>
              </w:rPr>
              <w:t xml:space="preserve">Valsts kontroles revīzijā ietverto priekšlikumu ieviešanas plānu attiecībā uz nepieciešamiem grozījumiem KPL. </w:t>
            </w:r>
          </w:p>
          <w:p w14:paraId="3997FE0D" w14:textId="19722187" w:rsidR="000F5E4B" w:rsidRPr="000F5E4B" w:rsidRDefault="00CD5A0C" w:rsidP="00843976">
            <w:pPr>
              <w:spacing w:after="0" w:line="240" w:lineRule="auto"/>
              <w:jc w:val="both"/>
              <w:rPr>
                <w:rFonts w:ascii="Times New Roman" w:eastAsia="Times New Roman" w:hAnsi="Times New Roman" w:cs="Times New Roman"/>
                <w:sz w:val="24"/>
                <w:szCs w:val="24"/>
                <w:lang w:eastAsia="lv-LV"/>
              </w:rPr>
            </w:pPr>
            <w:r w:rsidRPr="000F5E4B">
              <w:rPr>
                <w:rFonts w:ascii="Times New Roman" w:eastAsia="Times New Roman" w:hAnsi="Times New Roman" w:cs="Times New Roman"/>
                <w:sz w:val="24"/>
                <w:szCs w:val="24"/>
                <w:lang w:eastAsia="lv-LV"/>
              </w:rPr>
              <w:t xml:space="preserve">Likumprojekts ietver </w:t>
            </w:r>
            <w:r w:rsidRPr="000F5E4B">
              <w:rPr>
                <w:rFonts w:ascii="Times New Roman" w:hAnsi="Times New Roman" w:cs="Times New Roman"/>
                <w:sz w:val="24"/>
                <w:szCs w:val="24"/>
              </w:rPr>
              <w:t xml:space="preserve">Augstākās tiesas Krimināllietu departamenta sagatavotos priekšlikumu, kas ir atbalstīti Tieslietu padomē un Tieslietu ministrijas </w:t>
            </w:r>
            <w:r w:rsidR="000F5E4B" w:rsidRPr="000F5E4B">
              <w:rPr>
                <w:rFonts w:ascii="Times New Roman" w:hAnsi="Times New Roman" w:cs="Times New Roman"/>
                <w:sz w:val="24"/>
                <w:szCs w:val="24"/>
              </w:rPr>
              <w:t>Tieslietu ministrijas pastāvīgajā Kriminālprocesa likuma darba grupā (turpmāk – darba grupa)</w:t>
            </w:r>
            <w:r w:rsidR="000F5E4B">
              <w:rPr>
                <w:rFonts w:ascii="Times New Roman" w:hAnsi="Times New Roman" w:cs="Times New Roman"/>
                <w:sz w:val="24"/>
                <w:szCs w:val="24"/>
              </w:rPr>
              <w:t xml:space="preserve"> saistībā ar </w:t>
            </w:r>
            <w:r w:rsidR="000F5E4B" w:rsidRPr="00CD5A0C">
              <w:rPr>
                <w:rFonts w:ascii="Times New Roman" w:eastAsia="Times New Roman" w:hAnsi="Times New Roman" w:cs="Times New Roman"/>
                <w:sz w:val="24"/>
                <w:szCs w:val="24"/>
                <w:lang w:eastAsia="lv-LV"/>
              </w:rPr>
              <w:t xml:space="preserve">kasācijas </w:t>
            </w:r>
            <w:r w:rsidR="000F5E4B">
              <w:rPr>
                <w:rFonts w:ascii="Times New Roman" w:eastAsia="Times New Roman" w:hAnsi="Times New Roman" w:cs="Times New Roman"/>
                <w:sz w:val="24"/>
                <w:szCs w:val="24"/>
                <w:lang w:eastAsia="lv-LV"/>
              </w:rPr>
              <w:t xml:space="preserve">instances </w:t>
            </w:r>
            <w:r w:rsidR="000F5E4B" w:rsidRPr="00CD5A0C">
              <w:rPr>
                <w:rFonts w:ascii="Times New Roman" w:eastAsia="Times New Roman" w:hAnsi="Times New Roman" w:cs="Times New Roman"/>
                <w:sz w:val="24"/>
                <w:szCs w:val="24"/>
                <w:lang w:eastAsia="lv-LV"/>
              </w:rPr>
              <w:t>tiesībām lietas izskatīt paplašinātā sastāvā un paust atsevišķās domas, sūdzību par vienošanās procesu pārsūdzības kompetences maiņ</w:t>
            </w:r>
            <w:r w:rsidR="000F5E4B">
              <w:rPr>
                <w:rFonts w:ascii="Times New Roman" w:eastAsia="Times New Roman" w:hAnsi="Times New Roman" w:cs="Times New Roman"/>
                <w:sz w:val="24"/>
                <w:szCs w:val="24"/>
                <w:lang w:eastAsia="lv-LV"/>
              </w:rPr>
              <w:t xml:space="preserve">u. </w:t>
            </w:r>
          </w:p>
          <w:p w14:paraId="4BAE91B2" w14:textId="599AC3B5" w:rsidR="00CD5A0C" w:rsidRPr="00656D7C" w:rsidRDefault="00CD5A0C" w:rsidP="00656D7C">
            <w:pPr>
              <w:pStyle w:val="Default"/>
              <w:jc w:val="both"/>
              <w:rPr>
                <w:lang w:val="lv-LV"/>
              </w:rPr>
            </w:pPr>
            <w:r w:rsidRPr="000F5E4B">
              <w:rPr>
                <w:lang w:val="lv-LV"/>
              </w:rPr>
              <w:t xml:space="preserve">Grozījumi KPL 59. nodaļā ir saistīti ar Saeimas Juridiskās komisijas Krimināltiesību apakškomisijas aicinājumu </w:t>
            </w:r>
            <w:r w:rsidR="000F5E4B" w:rsidRPr="000F5E4B">
              <w:rPr>
                <w:lang w:val="lv-LV"/>
              </w:rPr>
              <w:t>darba grupai</w:t>
            </w:r>
            <w:r w:rsidRPr="000F5E4B">
              <w:rPr>
                <w:lang w:val="lv-LV"/>
              </w:rPr>
              <w:t xml:space="preserve"> izvērtēt Kriminālprocesa likuma 59.</w:t>
            </w:r>
            <w:r w:rsidR="000F5E4B">
              <w:rPr>
                <w:lang w:val="lv-LV"/>
              </w:rPr>
              <w:t> </w:t>
            </w:r>
            <w:r w:rsidRPr="000F5E4B">
              <w:rPr>
                <w:lang w:val="lv-LV"/>
              </w:rPr>
              <w:t xml:space="preserve">nodaļā paredzēto regulējumu par procesu attiecībā uz noziedzīgi iegūtu mantu, kā arī Latvijas Republikas </w:t>
            </w:r>
            <w:proofErr w:type="spellStart"/>
            <w:r w:rsidRPr="000F5E4B">
              <w:rPr>
                <w:lang w:val="lv-LV"/>
              </w:rPr>
              <w:t>tiesībsarga</w:t>
            </w:r>
            <w:proofErr w:type="spellEnd"/>
            <w:r w:rsidRPr="000F5E4B">
              <w:rPr>
                <w:lang w:val="lv-LV"/>
              </w:rPr>
              <w:t xml:space="preserve"> 2021.gada 6. aprīļa atzinumu pārbaudes lietā Nr. Nr.2020-40-4AD (turpmāk – </w:t>
            </w:r>
            <w:proofErr w:type="spellStart"/>
            <w:r w:rsidRPr="000F5E4B">
              <w:rPr>
                <w:lang w:val="lv-LV"/>
              </w:rPr>
              <w:t>tiesībsarga</w:t>
            </w:r>
            <w:proofErr w:type="spellEnd"/>
            <w:r w:rsidRPr="000F5E4B">
              <w:rPr>
                <w:lang w:val="lv-LV"/>
              </w:rPr>
              <w:t xml:space="preserve"> atzinums pārbaudes lietā), kurā tika vērtēta KPL 59. nodaļā noteikto procesu par </w:t>
            </w:r>
            <w:r w:rsidRPr="000F5E4B">
              <w:rPr>
                <w:lang w:val="lv-LV"/>
              </w:rPr>
              <w:lastRenderedPageBreak/>
              <w:t>noziedzīgi iegūtu mantu ieviestu atbilstoši Direktīvas 2014/42/ES prasībām.</w:t>
            </w:r>
          </w:p>
          <w:p w14:paraId="0A3EB312" w14:textId="19A8A1D6" w:rsidR="00B220C7" w:rsidRPr="00313EA0" w:rsidRDefault="00F05293" w:rsidP="00843976">
            <w:pPr>
              <w:spacing w:after="0" w:line="240" w:lineRule="auto"/>
              <w:jc w:val="both"/>
              <w:rPr>
                <w:rFonts w:ascii="Times New Roman" w:hAnsi="Times New Roman" w:cs="Times New Roman"/>
                <w:sz w:val="24"/>
                <w:szCs w:val="24"/>
                <w:highlight w:val="yellow"/>
              </w:rPr>
            </w:pPr>
            <w:r w:rsidRPr="00F05293">
              <w:rPr>
                <w:rFonts w:ascii="Times New Roman" w:hAnsi="Times New Roman" w:cs="Times New Roman"/>
                <w:sz w:val="24"/>
                <w:szCs w:val="24"/>
              </w:rPr>
              <w:t xml:space="preserve">Vienlaikus likumprojekts paredz izdarīt </w:t>
            </w:r>
            <w:r>
              <w:rPr>
                <w:rFonts w:ascii="Times New Roman" w:hAnsi="Times New Roman" w:cs="Times New Roman"/>
                <w:sz w:val="24"/>
                <w:szCs w:val="24"/>
              </w:rPr>
              <w:t xml:space="preserve">citus </w:t>
            </w:r>
            <w:r w:rsidRPr="00F05293">
              <w:rPr>
                <w:rFonts w:ascii="Times New Roman" w:hAnsi="Times New Roman" w:cs="Times New Roman"/>
                <w:sz w:val="24"/>
                <w:szCs w:val="24"/>
              </w:rPr>
              <w:t xml:space="preserve">nepieciešamos grozījumos </w:t>
            </w:r>
            <w:r w:rsidRPr="00F05293">
              <w:rPr>
                <w:rFonts w:ascii="Times New Roman" w:hAnsi="Times New Roman" w:cs="Times New Roman"/>
                <w:sz w:val="24"/>
                <w:szCs w:val="24"/>
                <w:shd w:val="clear" w:color="auto" w:fill="FFFFFF"/>
              </w:rPr>
              <w:t>KPL.</w:t>
            </w:r>
          </w:p>
        </w:tc>
      </w:tr>
      <w:tr w:rsidR="00DA326E" w:rsidRPr="00706AC9"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54561DA"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lastRenderedPageBreak/>
              <w:t>2.</w:t>
            </w:r>
          </w:p>
        </w:tc>
        <w:tc>
          <w:tcPr>
            <w:tcW w:w="1601" w:type="pct"/>
            <w:tcBorders>
              <w:top w:val="outset" w:sz="6" w:space="0" w:color="414142"/>
              <w:left w:val="outset" w:sz="6" w:space="0" w:color="414142"/>
              <w:bottom w:val="outset" w:sz="6" w:space="0" w:color="414142"/>
              <w:right w:val="outset" w:sz="6" w:space="0" w:color="414142"/>
            </w:tcBorders>
            <w:hideMark/>
          </w:tcPr>
          <w:p w14:paraId="12F2D896" w14:textId="77777777" w:rsidR="004D15A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0526661A"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647AE612"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79E6E09F"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374B4AC2"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679970EA"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4C34720F"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4745AF34"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7AD5B382"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0A9E38FD"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6B4DC06E"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3A98790B" w14:textId="77777777" w:rsidR="004F3252" w:rsidRPr="004F3252" w:rsidRDefault="004F3252" w:rsidP="003E6303">
            <w:pPr>
              <w:spacing w:line="240" w:lineRule="auto"/>
              <w:rPr>
                <w:rFonts w:ascii="Times New Roman" w:eastAsia="Times New Roman" w:hAnsi="Times New Roman" w:cs="Times New Roman"/>
                <w:sz w:val="24"/>
                <w:szCs w:val="24"/>
                <w:lang w:eastAsia="lv-LV"/>
              </w:rPr>
            </w:pPr>
          </w:p>
          <w:p w14:paraId="6D68C92A" w14:textId="77777777" w:rsidR="004F3252" w:rsidRDefault="004F3252" w:rsidP="003E6303">
            <w:pPr>
              <w:spacing w:line="240" w:lineRule="auto"/>
              <w:rPr>
                <w:rFonts w:ascii="Times New Roman" w:eastAsia="Times New Roman" w:hAnsi="Times New Roman" w:cs="Times New Roman"/>
                <w:sz w:val="24"/>
                <w:szCs w:val="24"/>
                <w:lang w:eastAsia="lv-LV"/>
              </w:rPr>
            </w:pPr>
          </w:p>
          <w:p w14:paraId="7D32CC2A" w14:textId="77777777" w:rsidR="004F3252" w:rsidRDefault="004F3252">
            <w:pPr>
              <w:spacing w:line="240" w:lineRule="auto"/>
              <w:ind w:firstLine="720"/>
              <w:rPr>
                <w:rFonts w:ascii="Times New Roman" w:eastAsia="Times New Roman" w:hAnsi="Times New Roman" w:cs="Times New Roman"/>
                <w:sz w:val="24"/>
                <w:szCs w:val="24"/>
                <w:lang w:eastAsia="lv-LV"/>
              </w:rPr>
            </w:pPr>
          </w:p>
          <w:p w14:paraId="7B9225C8" w14:textId="6161BA3E" w:rsidR="00733CBC" w:rsidRPr="00733CBC" w:rsidRDefault="00733CBC" w:rsidP="00733CBC">
            <w:pPr>
              <w:ind w:firstLine="720"/>
              <w:rPr>
                <w:rFonts w:ascii="Times New Roman" w:eastAsia="Times New Roman" w:hAnsi="Times New Roman" w:cs="Times New Roman"/>
                <w:sz w:val="24"/>
                <w:szCs w:val="24"/>
                <w:lang w:eastAsia="lv-LV"/>
              </w:rPr>
            </w:pPr>
          </w:p>
        </w:tc>
        <w:tc>
          <w:tcPr>
            <w:tcW w:w="3199" w:type="pct"/>
            <w:tcBorders>
              <w:top w:val="outset" w:sz="6" w:space="0" w:color="414142"/>
              <w:left w:val="outset" w:sz="6" w:space="0" w:color="414142"/>
              <w:bottom w:val="outset" w:sz="6" w:space="0" w:color="414142"/>
              <w:right w:val="outset" w:sz="6" w:space="0" w:color="414142"/>
            </w:tcBorders>
            <w:hideMark/>
          </w:tcPr>
          <w:p w14:paraId="304CF9E5" w14:textId="492CCF00" w:rsidR="00F05293" w:rsidRPr="00F05293" w:rsidRDefault="00F05293" w:rsidP="00313EA0">
            <w:pPr>
              <w:pStyle w:val="VPBody"/>
              <w:spacing w:before="0" w:after="0"/>
              <w:rPr>
                <w:b/>
                <w:bCs w:val="0"/>
                <w:szCs w:val="24"/>
                <w:shd w:val="clear" w:color="auto" w:fill="FFFFFF"/>
              </w:rPr>
            </w:pPr>
            <w:r w:rsidRPr="00F05293">
              <w:rPr>
                <w:b/>
                <w:bCs w:val="0"/>
                <w:szCs w:val="24"/>
                <w:shd w:val="clear" w:color="auto" w:fill="FFFFFF"/>
              </w:rPr>
              <w:t>Par juridisko personu nodrošinājuma līdzekļiem</w:t>
            </w:r>
            <w:r>
              <w:rPr>
                <w:b/>
                <w:bCs w:val="0"/>
                <w:szCs w:val="24"/>
                <w:shd w:val="clear" w:color="auto" w:fill="FFFFFF"/>
              </w:rPr>
              <w:t>.</w:t>
            </w:r>
          </w:p>
          <w:p w14:paraId="408F0403" w14:textId="2152EA12" w:rsidR="00FE02A2" w:rsidRPr="0084736C" w:rsidRDefault="00B00DC1" w:rsidP="00313EA0">
            <w:pPr>
              <w:pStyle w:val="VPBody"/>
              <w:spacing w:before="0" w:after="0"/>
              <w:rPr>
                <w:szCs w:val="24"/>
                <w:shd w:val="clear" w:color="auto" w:fill="FFFFFF"/>
              </w:rPr>
            </w:pPr>
            <w:r w:rsidRPr="000D4BF6">
              <w:rPr>
                <w:szCs w:val="24"/>
                <w:shd w:val="clear" w:color="auto" w:fill="FFFFFF"/>
              </w:rPr>
              <w:t xml:space="preserve">Pašreiz </w:t>
            </w:r>
            <w:r w:rsidR="000D4BF6" w:rsidRPr="000D4BF6">
              <w:rPr>
                <w:szCs w:val="24"/>
                <w:shd w:val="clear" w:color="auto" w:fill="FFFFFF"/>
              </w:rPr>
              <w:t>atbilstoši Krimināllikuma (turpmāk -</w:t>
            </w:r>
            <w:r w:rsidR="0055257D">
              <w:rPr>
                <w:szCs w:val="24"/>
                <w:shd w:val="clear" w:color="auto" w:fill="FFFFFF"/>
              </w:rPr>
              <w:t xml:space="preserve"> </w:t>
            </w:r>
            <w:r w:rsidR="000D4BF6" w:rsidRPr="000D4BF6">
              <w:rPr>
                <w:szCs w:val="24"/>
                <w:shd w:val="clear" w:color="auto" w:fill="FFFFFF"/>
              </w:rPr>
              <w:t>KL) 70.</w:t>
            </w:r>
            <w:r w:rsidR="000D4BF6" w:rsidRPr="000D4BF6">
              <w:rPr>
                <w:szCs w:val="24"/>
                <w:shd w:val="clear" w:color="auto" w:fill="FFFFFF"/>
                <w:vertAlign w:val="superscript"/>
              </w:rPr>
              <w:t>1</w:t>
            </w:r>
            <w:r w:rsidR="000D4BF6">
              <w:rPr>
                <w:szCs w:val="24"/>
                <w:shd w:val="clear" w:color="auto" w:fill="FFFFFF"/>
              </w:rPr>
              <w:t> </w:t>
            </w:r>
            <w:r w:rsidR="000D4BF6" w:rsidRPr="000D4BF6">
              <w:rPr>
                <w:szCs w:val="24"/>
                <w:shd w:val="clear" w:color="auto" w:fill="FFFFFF"/>
              </w:rPr>
              <w:t xml:space="preserve">pantam </w:t>
            </w:r>
            <w:r w:rsidR="000D4BF6" w:rsidRPr="000D4BF6">
              <w:rPr>
                <w:rFonts w:eastAsia="Times New Roman"/>
                <w:szCs w:val="24"/>
              </w:rPr>
              <w:t>par KL sevišķajā daļā paredzētu noziedzīgu nodarījumu privāto tiesību juridiskajai personai, tai skaitā valsts vai pašvaldību kapitālsabiedrībai, kā arī personālsabiedrībai, tiesa vai likumā paredzētajos gadījumos prokurors var piemērot piespiedu ietekmēšanas līdzekli, ja nodarījumu juridiskās personas interesēs, šīs personas labā vai tās nepienācīgas pārraudzības vai kontroles rezultātā izdarījusi fiziskā persona, rīkodamās individuāli vai kā attiecīgās juridiskās personas koleģiālās institūcijas loceklis: 1)</w:t>
            </w:r>
            <w:r w:rsidR="000D4BF6">
              <w:rPr>
                <w:rFonts w:eastAsia="Times New Roman"/>
                <w:szCs w:val="24"/>
              </w:rPr>
              <w:t> </w:t>
            </w:r>
            <w:r w:rsidR="000D4BF6" w:rsidRPr="000D4BF6">
              <w:rPr>
                <w:rFonts w:eastAsia="Times New Roman"/>
                <w:szCs w:val="24"/>
              </w:rPr>
              <w:t>balstoties uz tiesībām pārstāvēt juridisko personu vai darboties tās uzdevumā; 2)</w:t>
            </w:r>
            <w:r w:rsidR="000D4BF6">
              <w:rPr>
                <w:rFonts w:eastAsia="Times New Roman"/>
                <w:szCs w:val="24"/>
              </w:rPr>
              <w:t> </w:t>
            </w:r>
            <w:r w:rsidR="000D4BF6" w:rsidRPr="000D4BF6">
              <w:rPr>
                <w:rFonts w:eastAsia="Times New Roman"/>
                <w:szCs w:val="24"/>
              </w:rPr>
              <w:t>balstoties uz tiesībām pieņemt lēmumus juridiskās personas vārdā; 3)</w:t>
            </w:r>
            <w:r w:rsidR="000D4BF6">
              <w:rPr>
                <w:rFonts w:eastAsia="Times New Roman"/>
                <w:szCs w:val="24"/>
              </w:rPr>
              <w:t> </w:t>
            </w:r>
            <w:r w:rsidR="000D4BF6" w:rsidRPr="000D4BF6">
              <w:rPr>
                <w:rFonts w:eastAsia="Times New Roman"/>
                <w:szCs w:val="24"/>
              </w:rPr>
              <w:t>īstenodama kontroli juridiskās personas ietvaros.</w:t>
            </w:r>
            <w:r w:rsidR="000D4BF6">
              <w:rPr>
                <w:rFonts w:eastAsia="Times New Roman"/>
                <w:szCs w:val="24"/>
              </w:rPr>
              <w:t xml:space="preserve"> Attiecīgi </w:t>
            </w:r>
            <w:r w:rsidR="00F05293">
              <w:rPr>
                <w:rFonts w:eastAsia="Times New Roman"/>
                <w:szCs w:val="24"/>
              </w:rPr>
              <w:t xml:space="preserve">KPL </w:t>
            </w:r>
            <w:r w:rsidR="000D4BF6">
              <w:rPr>
                <w:szCs w:val="24"/>
                <w:shd w:val="clear" w:color="auto" w:fill="FFFFFF"/>
              </w:rPr>
              <w:t>39. </w:t>
            </w:r>
            <w:r w:rsidR="000D4BF6" w:rsidRPr="00C71674">
              <w:rPr>
                <w:szCs w:val="24"/>
                <w:shd w:val="clear" w:color="auto" w:fill="FFFFFF"/>
              </w:rPr>
              <w:t xml:space="preserve">nodaļa nosaka </w:t>
            </w:r>
            <w:proofErr w:type="spellStart"/>
            <w:r w:rsidR="000D4BF6" w:rsidRPr="00C71674">
              <w:rPr>
                <w:szCs w:val="24"/>
                <w:shd w:val="clear" w:color="auto" w:fill="FFFFFF"/>
              </w:rPr>
              <w:t>pirmstiesas</w:t>
            </w:r>
            <w:proofErr w:type="spellEnd"/>
            <w:r w:rsidR="000D4BF6" w:rsidRPr="00C71674">
              <w:rPr>
                <w:szCs w:val="24"/>
                <w:shd w:val="clear" w:color="auto" w:fill="FFFFFF"/>
              </w:rPr>
              <w:t xml:space="preserve"> kriminālprocesa īpatnības, piemērojot piespiedu iete</w:t>
            </w:r>
            <w:r w:rsidR="00E50085">
              <w:rPr>
                <w:szCs w:val="24"/>
                <w:shd w:val="clear" w:color="auto" w:fill="FFFFFF"/>
              </w:rPr>
              <w:t>k</w:t>
            </w:r>
            <w:r w:rsidR="000D4BF6" w:rsidRPr="00C71674">
              <w:rPr>
                <w:szCs w:val="24"/>
                <w:shd w:val="clear" w:color="auto" w:fill="FFFFFF"/>
              </w:rPr>
              <w:t>mēšanas līdzekļus juridiskajai personai, savukārt šā likuma 51.</w:t>
            </w:r>
            <w:r w:rsidR="0055257D">
              <w:rPr>
                <w:szCs w:val="24"/>
                <w:shd w:val="clear" w:color="auto" w:fill="FFFFFF"/>
              </w:rPr>
              <w:t> </w:t>
            </w:r>
            <w:r w:rsidR="000D4BF6" w:rsidRPr="00C71674">
              <w:rPr>
                <w:szCs w:val="24"/>
                <w:shd w:val="clear" w:color="auto" w:fill="FFFFFF"/>
              </w:rPr>
              <w:t xml:space="preserve">nodaļa nosaka tiesvedības īpatnības procesos par piespiedu ietekmēšanas līdzekļu </w:t>
            </w:r>
            <w:r w:rsidR="000D4BF6" w:rsidRPr="00E50085">
              <w:rPr>
                <w:szCs w:val="24"/>
                <w:shd w:val="clear" w:color="auto" w:fill="FFFFFF"/>
              </w:rPr>
              <w:t xml:space="preserve">piemērošanu juridiskajai personai. </w:t>
            </w:r>
            <w:r w:rsidR="00C71674" w:rsidRPr="00E50085">
              <w:rPr>
                <w:szCs w:val="24"/>
                <w:shd w:val="clear" w:color="auto" w:fill="FFFFFF"/>
              </w:rPr>
              <w:t xml:space="preserve">Saskaņā ar KPL 439. panta otro daļu process piespiedu ietekmēšanas līdzekļa </w:t>
            </w:r>
            <w:r w:rsidR="00C71674" w:rsidRPr="0084736C">
              <w:rPr>
                <w:szCs w:val="24"/>
                <w:shd w:val="clear" w:color="auto" w:fill="FFFFFF"/>
              </w:rPr>
              <w:t>piemērošanai juridiskajai personai notiek šajā likumā noteiktajā kārtībā uzsākta kriminālprocesa ietvaros.</w:t>
            </w:r>
            <w:r w:rsidR="00E50085" w:rsidRPr="0084736C">
              <w:rPr>
                <w:szCs w:val="24"/>
                <w:shd w:val="clear" w:color="auto" w:fill="FFFFFF"/>
              </w:rPr>
              <w:t xml:space="preserve"> Līdzīgi arī attiecībā uz iztiesāšanas stadiju KPL 547.</w:t>
            </w:r>
            <w:r w:rsidR="00E50085" w:rsidRPr="0084736C">
              <w:rPr>
                <w:szCs w:val="24"/>
                <w:shd w:val="clear" w:color="auto" w:fill="FFFFFF"/>
                <w:vertAlign w:val="superscript"/>
              </w:rPr>
              <w:t>1</w:t>
            </w:r>
            <w:r w:rsidR="00E50085" w:rsidRPr="0084736C">
              <w:rPr>
                <w:szCs w:val="24"/>
                <w:shd w:val="clear" w:color="auto" w:fill="FFFFFF"/>
              </w:rPr>
              <w:t> panta pirmajā daļā  noteikts, ka, ja process piespiedu ietekmēšanas līdzekļa piemērošanai izdalīts atsevišķā lietvedībā vai uzsākts, pamatojoties uz šā likuma 439. panta 3.</w:t>
            </w:r>
            <w:r w:rsidR="00E50085" w:rsidRPr="0084736C">
              <w:rPr>
                <w:szCs w:val="24"/>
                <w:shd w:val="clear" w:color="auto" w:fill="FFFFFF"/>
                <w:vertAlign w:val="superscript"/>
              </w:rPr>
              <w:t>1 </w:t>
            </w:r>
            <w:r w:rsidR="00E50085" w:rsidRPr="0084736C">
              <w:rPr>
                <w:szCs w:val="24"/>
                <w:shd w:val="clear" w:color="auto" w:fill="FFFFFF"/>
              </w:rPr>
              <w:t xml:space="preserve">daļu, tiesvedība notiek, ievērojot lietas izskatīšanas kārtību pirmās instances tiesā, ciktāl šā likuma 51. nodaļā nav noteikts citādi. Lai gan kriminālprocesuālais regulējums attiecībā uz procesu par </w:t>
            </w:r>
            <w:r w:rsidR="0008048B" w:rsidRPr="0084736C">
              <w:rPr>
                <w:szCs w:val="24"/>
                <w:shd w:val="clear" w:color="auto" w:fill="FFFFFF"/>
              </w:rPr>
              <w:t xml:space="preserve">piespiedu ietekmēšanas līdzekļa piemērošanu juridiskajai personai pamatā neatšķiras no kriminālprocesa, kas tiek </w:t>
            </w:r>
            <w:r w:rsidR="0084736C">
              <w:rPr>
                <w:szCs w:val="24"/>
                <w:shd w:val="clear" w:color="auto" w:fill="FFFFFF"/>
              </w:rPr>
              <w:t xml:space="preserve">virzīts pret </w:t>
            </w:r>
            <w:r w:rsidR="0008048B" w:rsidRPr="0084736C">
              <w:rPr>
                <w:szCs w:val="24"/>
                <w:shd w:val="clear" w:color="auto" w:fill="FFFFFF"/>
              </w:rPr>
              <w:t xml:space="preserve">fizisku personu, KPL </w:t>
            </w:r>
            <w:r w:rsidR="00130590">
              <w:rPr>
                <w:szCs w:val="24"/>
                <w:shd w:val="clear" w:color="auto" w:fill="FFFFFF"/>
              </w:rPr>
              <w:t xml:space="preserve">šobrīd </w:t>
            </w:r>
            <w:r w:rsidR="0008048B" w:rsidRPr="0084736C">
              <w:rPr>
                <w:szCs w:val="24"/>
                <w:shd w:val="clear" w:color="auto" w:fill="FFFFFF"/>
              </w:rPr>
              <w:t xml:space="preserve">neparedz pret juridisko personu piemērot </w:t>
            </w:r>
            <w:r w:rsidR="00130590">
              <w:rPr>
                <w:szCs w:val="24"/>
                <w:shd w:val="clear" w:color="auto" w:fill="FFFFFF"/>
              </w:rPr>
              <w:t xml:space="preserve">īpašus </w:t>
            </w:r>
            <w:r w:rsidR="0008048B" w:rsidRPr="0084736C">
              <w:rPr>
                <w:szCs w:val="24"/>
                <w:shd w:val="clear" w:color="auto" w:fill="FFFFFF"/>
              </w:rPr>
              <w:t xml:space="preserve">procesuālos piespiedu līdzekļus. </w:t>
            </w:r>
            <w:r w:rsidR="00305ADB">
              <w:rPr>
                <w:szCs w:val="24"/>
                <w:shd w:val="clear" w:color="auto" w:fill="FFFFFF"/>
              </w:rPr>
              <w:t>Norādāms,</w:t>
            </w:r>
            <w:r w:rsidR="002B3EF4">
              <w:rPr>
                <w:szCs w:val="24"/>
                <w:shd w:val="clear" w:color="auto" w:fill="FFFFFF"/>
              </w:rPr>
              <w:t xml:space="preserve"> ka atbilstoši pašreizējam regulējumam ir iespējams </w:t>
            </w:r>
            <w:r w:rsidR="00305ADB">
              <w:rPr>
                <w:szCs w:val="24"/>
                <w:shd w:val="clear" w:color="auto" w:fill="FFFFFF"/>
              </w:rPr>
              <w:t>piemērot mantas arestu</w:t>
            </w:r>
            <w:r w:rsidR="002B3EF4">
              <w:rPr>
                <w:szCs w:val="24"/>
                <w:shd w:val="clear" w:color="auto" w:fill="FFFFFF"/>
              </w:rPr>
              <w:t xml:space="preserve">, bet ņemot vērā, ka aresta piemērošanas pamati ir konkrēti noteikti KPL 361. pantā, </w:t>
            </w:r>
            <w:r w:rsidR="00305ADB">
              <w:rPr>
                <w:szCs w:val="24"/>
                <w:shd w:val="clear" w:color="auto" w:fill="FFFFFF"/>
              </w:rPr>
              <w:t>ne visos gadījumos</w:t>
            </w:r>
            <w:r w:rsidR="002B3EF4">
              <w:rPr>
                <w:szCs w:val="24"/>
                <w:shd w:val="clear" w:color="auto" w:fill="FFFFFF"/>
              </w:rPr>
              <w:t xml:space="preserve"> ar</w:t>
            </w:r>
            <w:r w:rsidR="00305ADB">
              <w:rPr>
                <w:szCs w:val="24"/>
                <w:shd w:val="clear" w:color="auto" w:fill="FFFFFF"/>
              </w:rPr>
              <w:t xml:space="preserve"> </w:t>
            </w:r>
            <w:r w:rsidR="002B3EF4">
              <w:rPr>
                <w:szCs w:val="24"/>
                <w:shd w:val="clear" w:color="auto" w:fill="FFFFFF"/>
              </w:rPr>
              <w:t xml:space="preserve">mantas </w:t>
            </w:r>
            <w:r w:rsidR="00305ADB">
              <w:rPr>
                <w:szCs w:val="24"/>
                <w:shd w:val="clear" w:color="auto" w:fill="FFFFFF"/>
              </w:rPr>
              <w:t xml:space="preserve">aresta </w:t>
            </w:r>
            <w:r w:rsidR="002B3EF4">
              <w:rPr>
                <w:szCs w:val="24"/>
                <w:shd w:val="clear" w:color="auto" w:fill="FFFFFF"/>
              </w:rPr>
              <w:t>uzlikšanu</w:t>
            </w:r>
            <w:r w:rsidR="00305ADB">
              <w:rPr>
                <w:szCs w:val="24"/>
                <w:shd w:val="clear" w:color="auto" w:fill="FFFFFF"/>
              </w:rPr>
              <w:t xml:space="preserve"> </w:t>
            </w:r>
            <w:r w:rsidR="002B3EF4">
              <w:rPr>
                <w:szCs w:val="24"/>
                <w:shd w:val="clear" w:color="auto" w:fill="FFFFFF"/>
              </w:rPr>
              <w:t xml:space="preserve">tiek </w:t>
            </w:r>
            <w:r w:rsidR="00305ADB">
              <w:rPr>
                <w:szCs w:val="24"/>
                <w:shd w:val="clear" w:color="auto" w:fill="FFFFFF"/>
              </w:rPr>
              <w:t>nodrošin</w:t>
            </w:r>
            <w:r w:rsidR="002B3EF4">
              <w:rPr>
                <w:szCs w:val="24"/>
                <w:shd w:val="clear" w:color="auto" w:fill="FFFFFF"/>
              </w:rPr>
              <w:t>āta</w:t>
            </w:r>
            <w:r w:rsidR="00305ADB">
              <w:rPr>
                <w:szCs w:val="24"/>
                <w:shd w:val="clear" w:color="auto" w:fill="FFFFFF"/>
              </w:rPr>
              <w:t xml:space="preserve"> kriminālprocesa mērķa sasniegšan</w:t>
            </w:r>
            <w:r w:rsidR="002B3EF4">
              <w:rPr>
                <w:szCs w:val="24"/>
                <w:shd w:val="clear" w:color="auto" w:fill="FFFFFF"/>
              </w:rPr>
              <w:t>a</w:t>
            </w:r>
            <w:r w:rsidR="00305ADB">
              <w:rPr>
                <w:szCs w:val="24"/>
                <w:shd w:val="clear" w:color="auto" w:fill="FFFFFF"/>
              </w:rPr>
              <w:t xml:space="preserve">. </w:t>
            </w:r>
            <w:r w:rsidR="0084736C">
              <w:rPr>
                <w:szCs w:val="24"/>
                <w:shd w:val="clear" w:color="auto" w:fill="FFFFFF"/>
              </w:rPr>
              <w:t xml:space="preserve">Tā rezultātā </w:t>
            </w:r>
            <w:r w:rsidR="0084736C" w:rsidRPr="000F5E4B">
              <w:rPr>
                <w:szCs w:val="24"/>
                <w:shd w:val="clear" w:color="auto" w:fill="FFFFFF"/>
              </w:rPr>
              <w:t xml:space="preserve">izmeklēšana var būt apgrūtinoša un nesekmēt kriminālprocesa mērķu sasniegšanu. </w:t>
            </w:r>
            <w:r w:rsidR="00024BD8" w:rsidRPr="000F5E4B">
              <w:rPr>
                <w:szCs w:val="24"/>
                <w:shd w:val="clear" w:color="auto" w:fill="FFFFFF"/>
              </w:rPr>
              <w:t xml:space="preserve">Atbilstoši praktiķu norādītajam, juridiskās personas pārstāvji mēdz </w:t>
            </w:r>
            <w:proofErr w:type="spellStart"/>
            <w:r w:rsidR="00024BD8" w:rsidRPr="000F5E4B">
              <w:rPr>
                <w:szCs w:val="24"/>
                <w:shd w:val="clear" w:color="auto" w:fill="FFFFFF"/>
              </w:rPr>
              <w:t>pretdarboties</w:t>
            </w:r>
            <w:proofErr w:type="spellEnd"/>
            <w:r w:rsidR="00024BD8" w:rsidRPr="000F5E4B">
              <w:rPr>
                <w:szCs w:val="24"/>
                <w:shd w:val="clear" w:color="auto" w:fill="FFFFFF"/>
              </w:rPr>
              <w:t xml:space="preserve"> izmeklēšanai, izvairīties no informācijas sniegšanas u.tml. Kā vēl vienu no riskiem praktiķi norāda “mērķētus </w:t>
            </w:r>
            <w:proofErr w:type="spellStart"/>
            <w:r w:rsidR="00024BD8" w:rsidRPr="000F5E4B">
              <w:rPr>
                <w:szCs w:val="24"/>
                <w:shd w:val="clear" w:color="auto" w:fill="FFFFFF"/>
              </w:rPr>
              <w:t>reiderisma</w:t>
            </w:r>
            <w:proofErr w:type="spellEnd"/>
            <w:r w:rsidR="00024BD8" w:rsidRPr="000F5E4B">
              <w:rPr>
                <w:szCs w:val="24"/>
                <w:shd w:val="clear" w:color="auto" w:fill="FFFFFF"/>
              </w:rPr>
              <w:t xml:space="preserve"> uzbrukumus” juridiskām personām ar mērķi pārņemt uzņēmuma pārvaldi, nomainot uzņēmuma </w:t>
            </w:r>
            <w:r w:rsidR="00024BD8" w:rsidRPr="000F5E4B">
              <w:rPr>
                <w:szCs w:val="24"/>
                <w:shd w:val="clear" w:color="auto" w:fill="FFFFFF"/>
              </w:rPr>
              <w:lastRenderedPageBreak/>
              <w:t xml:space="preserve">padomi un valdi, tādā veidā iegūstot kontroli pār uzņēmuma aktīviem, tos apgrūtinot vai atsavinot. Kā arī fiziskās personas juridiskās personas interesēs, ar mērķi izvairīties no piemērotā piespiedu ietekmēšanas līdzekļa izpildes, var pārnest uzņēmuma aktīvus uz citu juridisko personu vai likvidēt juridisko personu, vai reģistrēt izmaiņas Uzņēmumu reģistrā, kā rezultātā nav iespējams sasniegt kriminālprocesa mērķus. </w:t>
            </w:r>
            <w:r w:rsidR="0055257D" w:rsidRPr="000F5E4B">
              <w:rPr>
                <w:szCs w:val="24"/>
                <w:shd w:val="clear" w:color="auto" w:fill="FFFFFF"/>
              </w:rPr>
              <w:t>Ievērojot minēto, ir nepieciešams pilnveidot kriminālprocesuālo regulējumu</w:t>
            </w:r>
            <w:r w:rsidR="0055257D">
              <w:rPr>
                <w:szCs w:val="24"/>
                <w:shd w:val="clear" w:color="auto" w:fill="FFFFFF"/>
              </w:rPr>
              <w:t xml:space="preserve">, to papildinot ar jaunu institūtu – nodrošinājuma līdzekļi juridiskajai personai. Ar grozījumiem paredzēts noteikt trīs veidu nodrošinājuma līdzekļus, kā arī </w:t>
            </w:r>
            <w:r w:rsidR="00403F6B">
              <w:rPr>
                <w:szCs w:val="24"/>
                <w:shd w:val="clear" w:color="auto" w:fill="FFFFFF"/>
              </w:rPr>
              <w:t>paplašināt iespēju piemērot piespiedu naudu juridiskajām personām gadījumos, ja piemērotie nodrošinājuma līdzekļi netiek ievēroti.</w:t>
            </w:r>
          </w:p>
          <w:p w14:paraId="004015C9" w14:textId="00887409" w:rsidR="00574798" w:rsidRDefault="00FE02A2" w:rsidP="00574798">
            <w:pPr>
              <w:pStyle w:val="VPBody"/>
              <w:spacing w:before="0" w:after="0"/>
              <w:rPr>
                <w:rFonts w:eastAsia="Calibri"/>
                <w:szCs w:val="24"/>
              </w:rPr>
            </w:pPr>
            <w:r>
              <w:rPr>
                <w:szCs w:val="24"/>
                <w:shd w:val="clear" w:color="auto" w:fill="FFFFFF"/>
              </w:rPr>
              <w:t>Grozījum</w:t>
            </w:r>
            <w:r w:rsidR="00403F6B">
              <w:rPr>
                <w:szCs w:val="24"/>
                <w:shd w:val="clear" w:color="auto" w:fill="FFFFFF"/>
              </w:rPr>
              <w:t xml:space="preserve">s </w:t>
            </w:r>
            <w:r w:rsidRPr="00FE02A2">
              <w:rPr>
                <w:b/>
                <w:bCs w:val="0"/>
                <w:szCs w:val="24"/>
                <w:shd w:val="clear" w:color="auto" w:fill="FFFFFF"/>
              </w:rPr>
              <w:t>KPL</w:t>
            </w:r>
            <w:r>
              <w:rPr>
                <w:szCs w:val="24"/>
                <w:shd w:val="clear" w:color="auto" w:fill="FFFFFF"/>
              </w:rPr>
              <w:t xml:space="preserve"> </w:t>
            </w:r>
            <w:r w:rsidRPr="00FE02A2">
              <w:rPr>
                <w:b/>
                <w:bCs w:val="0"/>
                <w:szCs w:val="24"/>
                <w:shd w:val="clear" w:color="auto" w:fill="FFFFFF"/>
              </w:rPr>
              <w:t>241. pantā</w:t>
            </w:r>
            <w:r>
              <w:rPr>
                <w:b/>
                <w:bCs w:val="0"/>
                <w:szCs w:val="24"/>
                <w:shd w:val="clear" w:color="auto" w:fill="FFFFFF"/>
              </w:rPr>
              <w:t xml:space="preserve"> </w:t>
            </w:r>
            <w:r w:rsidR="00682E20" w:rsidRPr="00682E20">
              <w:rPr>
                <w:szCs w:val="24"/>
                <w:shd w:val="clear" w:color="auto" w:fill="FFFFFF"/>
              </w:rPr>
              <w:t>paredz</w:t>
            </w:r>
            <w:r w:rsidR="00682E20" w:rsidRPr="00682E20">
              <w:rPr>
                <w:b/>
                <w:bCs w:val="0"/>
                <w:szCs w:val="24"/>
                <w:shd w:val="clear" w:color="auto" w:fill="FFFFFF"/>
              </w:rPr>
              <w:t xml:space="preserve"> </w:t>
            </w:r>
            <w:r w:rsidR="00682E20" w:rsidRPr="00682E20">
              <w:rPr>
                <w:szCs w:val="24"/>
                <w:shd w:val="clear" w:color="auto" w:fill="FFFFFF"/>
              </w:rPr>
              <w:t>papildināt</w:t>
            </w:r>
            <w:r w:rsidR="00682E20">
              <w:rPr>
                <w:szCs w:val="24"/>
                <w:shd w:val="clear" w:color="auto" w:fill="FFFFFF"/>
              </w:rPr>
              <w:t xml:space="preserve"> pantu ar ceturto daļu, nosakot nodrošinājuma līdzekļu piemērošanas pamatu. Atbilstoši paredzētajiem grozījumiem nodrošinājuma līdzekļus juridiskajai personai procesā par piespiedu ietekmēšanas līdzekļa piemērošanu procesa virzītājs varēs </w:t>
            </w:r>
            <w:r w:rsidR="0089433C">
              <w:rPr>
                <w:szCs w:val="24"/>
                <w:shd w:val="clear" w:color="auto" w:fill="FFFFFF"/>
              </w:rPr>
              <w:t xml:space="preserve">piemērot gadījumā, kad iestāsies viens vai vairāki no šādiem pamatiem - </w:t>
            </w:r>
            <w:r w:rsidRPr="00B61B00">
              <w:rPr>
                <w:rFonts w:eastAsia="Times New Roman"/>
                <w:szCs w:val="24"/>
                <w:lang w:eastAsia="lv-LV"/>
              </w:rPr>
              <w:t xml:space="preserve">notiek </w:t>
            </w:r>
            <w:r w:rsidRPr="00B61B00">
              <w:rPr>
                <w:rFonts w:eastAsia="Calibri"/>
                <w:szCs w:val="24"/>
              </w:rPr>
              <w:t>pretdarbība kriminālprocesa mērķa sasniegšanai</w:t>
            </w:r>
            <w:r w:rsidR="0089433C">
              <w:rPr>
                <w:rFonts w:eastAsia="Calibri"/>
                <w:szCs w:val="24"/>
              </w:rPr>
              <w:t xml:space="preserve"> vai </w:t>
            </w:r>
            <w:r w:rsidRPr="00B61B00">
              <w:rPr>
                <w:rFonts w:eastAsia="Times New Roman"/>
                <w:szCs w:val="24"/>
                <w:lang w:eastAsia="lv-LV"/>
              </w:rPr>
              <w:t xml:space="preserve">netiek pildīti likumā noteiktie procesuālie pienākumi, </w:t>
            </w:r>
            <w:r w:rsidR="0089433C">
              <w:rPr>
                <w:rFonts w:eastAsia="Times New Roman"/>
                <w:szCs w:val="24"/>
                <w:lang w:eastAsia="lv-LV"/>
              </w:rPr>
              <w:t>kā arī</w:t>
            </w:r>
            <w:r w:rsidRPr="00B61B00">
              <w:rPr>
                <w:rFonts w:eastAsia="Times New Roman"/>
                <w:szCs w:val="24"/>
                <w:lang w:eastAsia="lv-LV"/>
              </w:rPr>
              <w:t xml:space="preserve">, </w:t>
            </w:r>
            <w:r w:rsidRPr="00B61B00">
              <w:rPr>
                <w:rFonts w:eastAsia="Calibri"/>
                <w:szCs w:val="24"/>
              </w:rPr>
              <w:t>ja</w:t>
            </w:r>
            <w:r w:rsidR="0089433C">
              <w:rPr>
                <w:rFonts w:eastAsia="Calibri"/>
                <w:szCs w:val="24"/>
              </w:rPr>
              <w:t xml:space="preserve"> procesa virzītājam </w:t>
            </w:r>
            <w:r w:rsidRPr="00B61B00">
              <w:rPr>
                <w:rFonts w:eastAsia="Calibri"/>
                <w:szCs w:val="24"/>
              </w:rPr>
              <w:t xml:space="preserve"> ir pamats uzskatīt, ka tiks</w:t>
            </w:r>
            <w:r w:rsidRPr="00B61B00">
              <w:rPr>
                <w:rFonts w:eastAsia="Times New Roman"/>
                <w:szCs w:val="24"/>
                <w:lang w:eastAsia="lv-LV"/>
              </w:rPr>
              <w:t xml:space="preserve"> kavēta procesa virzība, vai </w:t>
            </w:r>
            <w:r w:rsidRPr="00B61B00">
              <w:rPr>
                <w:rFonts w:eastAsia="Calibri"/>
                <w:szCs w:val="24"/>
              </w:rPr>
              <w:t>fiziskā persona izdarīs</w:t>
            </w:r>
            <w:r w:rsidRPr="00B61B00">
              <w:rPr>
                <w:rFonts w:eastAsia="Times New Roman"/>
                <w:szCs w:val="24"/>
                <w:lang w:eastAsia="lv-LV"/>
              </w:rPr>
              <w:t xml:space="preserve"> jaunu noziedzīgu </w:t>
            </w:r>
            <w:r w:rsidRPr="00B61B00">
              <w:rPr>
                <w:rFonts w:eastAsia="Calibri"/>
                <w:szCs w:val="24"/>
              </w:rPr>
              <w:t>nodarījumu juridiskās personas interesēs, šīs personas labā vai tās nepienācīgas pārraudzības vai kontroles rezultātā</w:t>
            </w:r>
            <w:r w:rsidRPr="00B61B00">
              <w:rPr>
                <w:rFonts w:eastAsia="Times New Roman"/>
                <w:szCs w:val="24"/>
                <w:lang w:eastAsia="lv-LV"/>
              </w:rPr>
              <w:t>.</w:t>
            </w:r>
            <w:r w:rsidR="0015404B">
              <w:rPr>
                <w:rFonts w:eastAsia="Times New Roman"/>
                <w:szCs w:val="24"/>
                <w:lang w:eastAsia="lv-LV"/>
              </w:rPr>
              <w:t xml:space="preserve"> Par pretdarbību </w:t>
            </w:r>
            <w:r w:rsidR="0015404B" w:rsidRPr="00B61B00">
              <w:rPr>
                <w:rFonts w:eastAsia="Calibri"/>
                <w:szCs w:val="24"/>
              </w:rPr>
              <w:t>kriminālprocesa mērķa sasniegšanai</w:t>
            </w:r>
            <w:r w:rsidR="0015404B">
              <w:rPr>
                <w:rFonts w:eastAsia="Calibri"/>
                <w:szCs w:val="24"/>
              </w:rPr>
              <w:t xml:space="preserve"> var atzīt tādu juridiskās personas vai viņa pārstāvja darbību kā </w:t>
            </w:r>
            <w:r w:rsidR="007F4904">
              <w:rPr>
                <w:rFonts w:eastAsia="Calibri"/>
                <w:szCs w:val="24"/>
              </w:rPr>
              <w:t xml:space="preserve">izvairīšanos no saziņas ar procesa virzītāju, kriminālprocesam svarīgu </w:t>
            </w:r>
            <w:r w:rsidR="007F4904" w:rsidRPr="007F4904">
              <w:rPr>
                <w:rFonts w:eastAsia="Calibri"/>
                <w:szCs w:val="24"/>
              </w:rPr>
              <w:t xml:space="preserve">dokumentu apzināta iznīcināšana un citas darbības, ka kavē kriminālprocesa virzību. </w:t>
            </w:r>
            <w:r w:rsidR="00574798" w:rsidRPr="007F4904">
              <w:rPr>
                <w:rFonts w:eastAsia="Calibri"/>
                <w:szCs w:val="24"/>
              </w:rPr>
              <w:t xml:space="preserve">Tāpat viens no nodrošinājuma līdzekļu piemērošanas pamatiem ir apstāklis, ka </w:t>
            </w:r>
            <w:r w:rsidR="00574798" w:rsidRPr="007F4904">
              <w:rPr>
                <w:rFonts w:eastAsia="Times New Roman"/>
                <w:szCs w:val="24"/>
                <w:lang w:eastAsia="lv-LV"/>
              </w:rPr>
              <w:t>netiek pildīti likumā noteiktie procesuālie pienākumi, kā piemēram, juridiskās personas pārstāvis neierodas pēc procesa virzītāja aicinājuma atbilstoši KPL 146. pantam</w:t>
            </w:r>
            <w:r w:rsidR="007F4904" w:rsidRPr="007F4904">
              <w:rPr>
                <w:rFonts w:eastAsia="Times New Roman"/>
                <w:szCs w:val="24"/>
                <w:lang w:eastAsia="lv-LV"/>
              </w:rPr>
              <w:t xml:space="preserve"> vai apzināti </w:t>
            </w:r>
            <w:r w:rsidR="007F4904" w:rsidRPr="007F4904">
              <w:rPr>
                <w:rFonts w:eastAsia="Calibri"/>
                <w:szCs w:val="24"/>
              </w:rPr>
              <w:t xml:space="preserve">kavējas ar </w:t>
            </w:r>
            <w:r w:rsidR="007F4904" w:rsidRPr="007F4904">
              <w:rPr>
                <w:szCs w:val="24"/>
                <w:shd w:val="clear" w:color="auto" w:fill="FFFFFF"/>
              </w:rPr>
              <w:t xml:space="preserve">kriminālprocesam nozīmīgu priekšmetu, dokumentu un ziņu par faktiem izsniegšanu  </w:t>
            </w:r>
            <w:r w:rsidR="007F4904" w:rsidRPr="007F4904">
              <w:rPr>
                <w:rFonts w:eastAsia="Calibri"/>
                <w:szCs w:val="24"/>
              </w:rPr>
              <w:t>pēc procesa virzītāja pieprasījuma (KPL 190. panta kārtībā).</w:t>
            </w:r>
            <w:r w:rsidR="00CB201F">
              <w:rPr>
                <w:rFonts w:eastAsia="Calibri"/>
                <w:szCs w:val="24"/>
              </w:rPr>
              <w:t xml:space="preserve"> </w:t>
            </w:r>
            <w:r w:rsidR="00CB201F" w:rsidRPr="00CB201F">
              <w:rPr>
                <w:rFonts w:eastAsia="Calibri"/>
                <w:szCs w:val="24"/>
              </w:rPr>
              <w:t>Vienlaikus norādāms, ka atbilstoši KPL 93. panta piektajai daļai p</w:t>
            </w:r>
            <w:r w:rsidR="00CB201F" w:rsidRPr="00CB201F">
              <w:rPr>
                <w:szCs w:val="24"/>
                <w:shd w:val="clear" w:color="auto" w:fill="FFFFFF"/>
              </w:rPr>
              <w:t xml:space="preserve">ārstāvja nepiedalīšanās procesā nav šķērslis procesa turpināšanai, līdz ar to nodrošinājuma līdzekļi juridiskajai personai būtu piemērojami arī gadījumos, kad juridiskajās personas pārstāvis nepiedalās procesā. </w:t>
            </w:r>
          </w:p>
          <w:p w14:paraId="56EEAF32" w14:textId="7E876F72" w:rsidR="002A003C" w:rsidRDefault="00001168" w:rsidP="00574798">
            <w:pPr>
              <w:pStyle w:val="VPBody"/>
              <w:spacing w:before="0" w:after="0"/>
              <w:rPr>
                <w:rFonts w:eastAsia="Calibri"/>
                <w:szCs w:val="24"/>
              </w:rPr>
            </w:pPr>
            <w:r>
              <w:rPr>
                <w:rFonts w:eastAsia="Calibri"/>
                <w:szCs w:val="24"/>
              </w:rPr>
              <w:t>Ņemot vērā nodrošinājuma līdzekļu juridisko dabu</w:t>
            </w:r>
            <w:r w:rsidR="002E09F0">
              <w:rPr>
                <w:rFonts w:eastAsia="Calibri"/>
                <w:szCs w:val="24"/>
              </w:rPr>
              <w:t>,</w:t>
            </w:r>
            <w:r>
              <w:rPr>
                <w:rFonts w:eastAsia="Calibri"/>
                <w:szCs w:val="24"/>
              </w:rPr>
              <w:t xml:space="preserve"> ar</w:t>
            </w:r>
            <w:r w:rsidR="002A003C">
              <w:rPr>
                <w:rFonts w:eastAsia="Calibri"/>
                <w:szCs w:val="24"/>
              </w:rPr>
              <w:t xml:space="preserve"> grozījumiem </w:t>
            </w:r>
            <w:r w:rsidR="002A003C" w:rsidRPr="002A003C">
              <w:rPr>
                <w:rFonts w:eastAsia="Calibri"/>
                <w:b/>
                <w:bCs w:val="0"/>
                <w:szCs w:val="24"/>
              </w:rPr>
              <w:t>KPL 242. pantā</w:t>
            </w:r>
            <w:r w:rsidR="002A003C">
              <w:rPr>
                <w:rFonts w:eastAsia="Calibri"/>
                <w:szCs w:val="24"/>
              </w:rPr>
              <w:t xml:space="preserve"> paredzēts noteikt, ka </w:t>
            </w:r>
            <w:r w:rsidR="00510523">
              <w:rPr>
                <w:rFonts w:eastAsia="Calibri"/>
                <w:szCs w:val="24"/>
              </w:rPr>
              <w:t xml:space="preserve">arī </w:t>
            </w:r>
            <w:r>
              <w:rPr>
                <w:rFonts w:eastAsia="Calibri"/>
                <w:szCs w:val="24"/>
              </w:rPr>
              <w:t xml:space="preserve">tie </w:t>
            </w:r>
            <w:r w:rsidR="002A003C">
              <w:rPr>
                <w:rFonts w:eastAsia="Calibri"/>
                <w:szCs w:val="24"/>
              </w:rPr>
              <w:t>ir procesuālie piespiedu līdzekļi.</w:t>
            </w:r>
          </w:p>
          <w:p w14:paraId="5F33F2B5" w14:textId="7FDC009B" w:rsidR="00B63CE2" w:rsidRPr="00B61B00" w:rsidRDefault="00001168" w:rsidP="00001168">
            <w:pPr>
              <w:pStyle w:val="VPBody"/>
              <w:spacing w:before="0" w:after="0"/>
              <w:rPr>
                <w:rFonts w:eastAsia="Times New Roman"/>
                <w:szCs w:val="24"/>
                <w:lang w:eastAsia="lv-LV"/>
              </w:rPr>
            </w:pPr>
            <w:r>
              <w:rPr>
                <w:rFonts w:eastAsia="Calibri"/>
                <w:szCs w:val="24"/>
              </w:rPr>
              <w:t xml:space="preserve">Ar grozījumiem paredzēts papildināt KPL ar jaunu </w:t>
            </w:r>
            <w:r w:rsidRPr="00510523">
              <w:rPr>
                <w:rFonts w:eastAsia="Times New Roman"/>
                <w:b/>
                <w:bCs w:val="0"/>
                <w:szCs w:val="24"/>
                <w:lang w:eastAsia="lv-LV"/>
              </w:rPr>
              <w:t>243.</w:t>
            </w:r>
            <w:r w:rsidRPr="00510523">
              <w:rPr>
                <w:rFonts w:eastAsia="Times New Roman"/>
                <w:b/>
                <w:bCs w:val="0"/>
                <w:szCs w:val="24"/>
                <w:vertAlign w:val="superscript"/>
                <w:lang w:eastAsia="lv-LV"/>
              </w:rPr>
              <w:t>1</w:t>
            </w:r>
            <w:r w:rsidRPr="00510523">
              <w:rPr>
                <w:rFonts w:eastAsia="Times New Roman"/>
                <w:b/>
                <w:bCs w:val="0"/>
                <w:szCs w:val="24"/>
                <w:lang w:eastAsia="lv-LV"/>
              </w:rPr>
              <w:t> pantu</w:t>
            </w:r>
            <w:r>
              <w:rPr>
                <w:rFonts w:eastAsia="Times New Roman"/>
                <w:szCs w:val="24"/>
                <w:lang w:eastAsia="lv-LV"/>
              </w:rPr>
              <w:t>. Panta pirmā daļa noteiks nodrošinājuma līdzekļu klāstu</w:t>
            </w:r>
            <w:r w:rsidR="00130590">
              <w:rPr>
                <w:rFonts w:eastAsia="Times New Roman"/>
                <w:szCs w:val="24"/>
                <w:lang w:eastAsia="lv-LV"/>
              </w:rPr>
              <w:t>,</w:t>
            </w:r>
            <w:r w:rsidR="00656D7C">
              <w:rPr>
                <w:rFonts w:eastAsia="Times New Roman"/>
                <w:szCs w:val="24"/>
                <w:lang w:eastAsia="lv-LV"/>
              </w:rPr>
              <w:t xml:space="preserve"> </w:t>
            </w:r>
            <w:r>
              <w:rPr>
                <w:rFonts w:eastAsia="Times New Roman"/>
                <w:szCs w:val="24"/>
                <w:lang w:eastAsia="lv-LV"/>
              </w:rPr>
              <w:t xml:space="preserve">proti, </w:t>
            </w:r>
            <w:bookmarkStart w:id="0" w:name="_Hlk53091033"/>
            <w:r w:rsidR="00130590" w:rsidRPr="00305ADB">
              <w:rPr>
                <w:rFonts w:eastAsia="Times New Roman"/>
                <w:b/>
                <w:bCs w:val="0"/>
                <w:szCs w:val="24"/>
                <w:lang w:eastAsia="lv-LV"/>
              </w:rPr>
              <w:t xml:space="preserve">1. </w:t>
            </w:r>
            <w:r w:rsidR="00B63CE2" w:rsidRPr="00305ADB">
              <w:rPr>
                <w:rFonts w:eastAsia="Times New Roman"/>
                <w:b/>
                <w:bCs w:val="0"/>
                <w:szCs w:val="24"/>
                <w:lang w:eastAsia="lv-LV"/>
              </w:rPr>
              <w:t>noteiktu darbību aizliegums;</w:t>
            </w:r>
            <w:bookmarkEnd w:id="0"/>
            <w:r w:rsidRPr="00305ADB">
              <w:rPr>
                <w:rFonts w:eastAsia="Times New Roman"/>
                <w:b/>
                <w:bCs w:val="0"/>
                <w:szCs w:val="24"/>
                <w:lang w:eastAsia="lv-LV"/>
              </w:rPr>
              <w:t xml:space="preserve"> </w:t>
            </w:r>
            <w:r w:rsidR="00130590" w:rsidRPr="00305ADB">
              <w:rPr>
                <w:rFonts w:eastAsia="Times New Roman"/>
                <w:b/>
                <w:bCs w:val="0"/>
                <w:szCs w:val="24"/>
                <w:lang w:eastAsia="lv-LV"/>
              </w:rPr>
              <w:t xml:space="preserve">2. </w:t>
            </w:r>
            <w:r w:rsidR="00B63CE2" w:rsidRPr="00305ADB">
              <w:rPr>
                <w:rFonts w:eastAsia="Times New Roman"/>
                <w:b/>
                <w:bCs w:val="0"/>
                <w:szCs w:val="24"/>
                <w:lang w:eastAsia="lv-LV"/>
              </w:rPr>
              <w:lastRenderedPageBreak/>
              <w:t xml:space="preserve">aizliegums veikt izmaiņas </w:t>
            </w:r>
            <w:r w:rsidR="00B63CE2" w:rsidRPr="00305ADB">
              <w:rPr>
                <w:rFonts w:eastAsia="Calibri"/>
                <w:b/>
                <w:bCs w:val="0"/>
                <w:szCs w:val="24"/>
              </w:rPr>
              <w:t>Uzņēmumu reģistra vestajos reģistros</w:t>
            </w:r>
            <w:r w:rsidR="00B63CE2" w:rsidRPr="00305ADB">
              <w:rPr>
                <w:rFonts w:eastAsia="Times New Roman"/>
                <w:b/>
                <w:bCs w:val="0"/>
                <w:szCs w:val="24"/>
                <w:lang w:eastAsia="lv-LV"/>
              </w:rPr>
              <w:t xml:space="preserve"> bez procesa virzītāja atļaujas; </w:t>
            </w:r>
            <w:r w:rsidR="00130590" w:rsidRPr="00305ADB">
              <w:rPr>
                <w:rFonts w:eastAsia="Times New Roman"/>
                <w:b/>
                <w:bCs w:val="0"/>
                <w:szCs w:val="24"/>
                <w:lang w:eastAsia="lv-LV"/>
              </w:rPr>
              <w:t xml:space="preserve">3. </w:t>
            </w:r>
            <w:r w:rsidR="00B63CE2" w:rsidRPr="00305ADB">
              <w:rPr>
                <w:rFonts w:eastAsia="Times New Roman"/>
                <w:b/>
                <w:bCs w:val="0"/>
                <w:szCs w:val="24"/>
                <w:lang w:eastAsia="lv-LV"/>
              </w:rPr>
              <w:t>aizliegums veikt uzņēmumu pāreju.</w:t>
            </w:r>
            <w:r>
              <w:rPr>
                <w:rFonts w:eastAsia="Times New Roman"/>
                <w:szCs w:val="24"/>
                <w:lang w:eastAsia="lv-LV"/>
              </w:rPr>
              <w:t xml:space="preserve"> Savukārt atbilstoši panta otrajai daļai j</w:t>
            </w:r>
            <w:r w:rsidR="00B63CE2" w:rsidRPr="00B61B00">
              <w:rPr>
                <w:rFonts w:eastAsia="Calibri"/>
                <w:szCs w:val="24"/>
              </w:rPr>
              <w:t>uridiskajai personai var piemērot vienu vai vairākus šā panta pirmajā daļā paredzētos nodrošinājuma līdzekļus.</w:t>
            </w:r>
            <w:r>
              <w:rPr>
                <w:rFonts w:eastAsia="Calibri"/>
                <w:szCs w:val="24"/>
              </w:rPr>
              <w:t xml:space="preserve"> Tādējādi procesa virzītājam, ņemot vērā </w:t>
            </w:r>
            <w:r w:rsidR="000D1C81">
              <w:rPr>
                <w:rFonts w:eastAsia="Calibri"/>
                <w:szCs w:val="24"/>
              </w:rPr>
              <w:t>konkrētā kriminālprocesa</w:t>
            </w:r>
            <w:r>
              <w:rPr>
                <w:rFonts w:eastAsia="Calibri"/>
                <w:szCs w:val="24"/>
              </w:rPr>
              <w:t xml:space="preserve"> apstākļus, ievērojot KPL 241.</w:t>
            </w:r>
            <w:r w:rsidR="00BC5AB9">
              <w:rPr>
                <w:rFonts w:eastAsia="Calibri"/>
                <w:szCs w:val="24"/>
              </w:rPr>
              <w:t> </w:t>
            </w:r>
            <w:r>
              <w:rPr>
                <w:rFonts w:eastAsia="Calibri"/>
                <w:szCs w:val="24"/>
              </w:rPr>
              <w:t xml:space="preserve">panta </w:t>
            </w:r>
            <w:r w:rsidR="00510523">
              <w:rPr>
                <w:rFonts w:eastAsia="Calibri"/>
                <w:szCs w:val="24"/>
              </w:rPr>
              <w:t>ceturtajā</w:t>
            </w:r>
            <w:r>
              <w:rPr>
                <w:rFonts w:eastAsia="Calibri"/>
                <w:szCs w:val="24"/>
              </w:rPr>
              <w:t xml:space="preserve"> daļā noteiktos pamatus</w:t>
            </w:r>
            <w:r w:rsidR="002E09F0">
              <w:rPr>
                <w:rFonts w:eastAsia="Calibri"/>
                <w:szCs w:val="24"/>
              </w:rPr>
              <w:t>, ir tiesības piemērot arī vairākus nodrošinājuma līdzekļus vienlaikus</w:t>
            </w:r>
            <w:r w:rsidR="00305ADB">
              <w:rPr>
                <w:rFonts w:eastAsia="Calibri"/>
                <w:szCs w:val="24"/>
              </w:rPr>
              <w:t>. Tāpat procesa virzītājs var piemērot vairākus nodrošinājuma līdzekļus dažādos laika posmos, ja piemēram, konstatē, ka ar piemēroto nodrošinājuma līdzekli nav pietiekoši, lai nodrošinātu kriminālprocesa mērķa sasniegšanu, tas netiek ievērots</w:t>
            </w:r>
            <w:r w:rsidR="00024BD8">
              <w:rPr>
                <w:rFonts w:eastAsia="Calibri"/>
                <w:szCs w:val="24"/>
              </w:rPr>
              <w:t>,</w:t>
            </w:r>
            <w:r w:rsidR="00305ADB">
              <w:rPr>
                <w:rFonts w:eastAsia="Calibri"/>
                <w:szCs w:val="24"/>
              </w:rPr>
              <w:t xml:space="preserve"> vai ir </w:t>
            </w:r>
            <w:r w:rsidR="00024BD8">
              <w:rPr>
                <w:rFonts w:eastAsia="Calibri"/>
                <w:szCs w:val="24"/>
              </w:rPr>
              <w:t>konstatēti</w:t>
            </w:r>
            <w:r w:rsidR="00305ADB">
              <w:rPr>
                <w:rFonts w:eastAsia="Calibri"/>
                <w:szCs w:val="24"/>
              </w:rPr>
              <w:t xml:space="preserve"> jauni apstākļi,</w:t>
            </w:r>
            <w:r w:rsidR="00024BD8">
              <w:rPr>
                <w:rFonts w:eastAsia="Calibri"/>
                <w:szCs w:val="24"/>
              </w:rPr>
              <w:t xml:space="preserve"> kas būtu par pamatu piemērot papildu nodrošinājuma līdzek</w:t>
            </w:r>
            <w:r w:rsidR="00656D7C">
              <w:rPr>
                <w:rFonts w:eastAsia="Calibri"/>
                <w:szCs w:val="24"/>
              </w:rPr>
              <w:t>li</w:t>
            </w:r>
            <w:r w:rsidR="00024BD8">
              <w:rPr>
                <w:rFonts w:eastAsia="Calibri"/>
                <w:szCs w:val="24"/>
              </w:rPr>
              <w:t>.</w:t>
            </w:r>
            <w:r w:rsidR="002E09F0">
              <w:rPr>
                <w:rFonts w:eastAsia="Calibri"/>
                <w:szCs w:val="24"/>
              </w:rPr>
              <w:t xml:space="preserve"> </w:t>
            </w:r>
            <w:r>
              <w:rPr>
                <w:rFonts w:eastAsia="Calibri"/>
                <w:szCs w:val="24"/>
              </w:rPr>
              <w:t xml:space="preserve">Vienlaikus norādāms, ka katrs piemērotais nodrošinājuma līdzeklis lēmumā ir jāpamato, izvērtējot gan piemērošanas pamatu, gan nepieciešamību, gan samērīgumu starp piemēroto nodrošinājuma līdzekli un iespējamos riskus turpmākai juridiskās personas pastāvēšanai. </w:t>
            </w:r>
          </w:p>
          <w:p w14:paraId="66F2E10B" w14:textId="231DB992" w:rsidR="00B63CE2" w:rsidRPr="00F42A6A" w:rsidRDefault="00F42A6A" w:rsidP="00F42A6A">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Attiecīgi KPL paredzēts papildināt </w:t>
            </w:r>
            <w:r w:rsidR="00BC5AB9">
              <w:rPr>
                <w:rFonts w:ascii="Times New Roman" w:hAnsi="Times New Roman" w:cs="Times New Roman"/>
                <w:sz w:val="24"/>
                <w:szCs w:val="24"/>
              </w:rPr>
              <w:t xml:space="preserve">ar </w:t>
            </w:r>
            <w:r w:rsidRPr="00B61B00">
              <w:rPr>
                <w:rFonts w:ascii="Times New Roman" w:eastAsia="Times New Roman" w:hAnsi="Times New Roman" w:cs="Times New Roman"/>
                <w:sz w:val="24"/>
                <w:szCs w:val="24"/>
                <w:lang w:eastAsia="lv-LV"/>
              </w:rPr>
              <w:t>261.</w:t>
            </w:r>
            <w:r w:rsidRPr="00B61B00">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w:t>
            </w:r>
            <w:r w:rsidRPr="00B61B00">
              <w:rPr>
                <w:rFonts w:ascii="Times New Roman" w:eastAsia="Times New Roman" w:hAnsi="Times New Roman" w:cs="Times New Roman"/>
                <w:sz w:val="24"/>
                <w:szCs w:val="24"/>
                <w:lang w:eastAsia="lv-LV"/>
              </w:rPr>
              <w:t>261.</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w:t>
            </w:r>
            <w:r w:rsidRPr="00B61B00">
              <w:rPr>
                <w:rFonts w:ascii="Times New Roman" w:eastAsia="Times New Roman" w:hAnsi="Times New Roman" w:cs="Times New Roman"/>
                <w:sz w:val="24"/>
                <w:szCs w:val="24"/>
                <w:lang w:eastAsia="lv-LV"/>
              </w:rPr>
              <w:t xml:space="preserve"> 261.</w:t>
            </w:r>
            <w:r>
              <w:rPr>
                <w:rFonts w:ascii="Times New Roman" w:eastAsia="Times New Roman" w:hAnsi="Times New Roman" w:cs="Times New Roman"/>
                <w:sz w:val="24"/>
                <w:szCs w:val="24"/>
                <w:vertAlign w:val="superscript"/>
                <w:lang w:eastAsia="lv-LV"/>
              </w:rPr>
              <w:t>3</w:t>
            </w:r>
            <w:r>
              <w:rPr>
                <w:rFonts w:ascii="Times New Roman" w:eastAsia="Times New Roman" w:hAnsi="Times New Roman" w:cs="Times New Roman"/>
                <w:sz w:val="24"/>
                <w:szCs w:val="24"/>
                <w:lang w:eastAsia="lv-LV"/>
              </w:rPr>
              <w:t xml:space="preserve"> pantiem. </w:t>
            </w:r>
          </w:p>
          <w:p w14:paraId="31506F7B" w14:textId="3496A890" w:rsidR="002743E4" w:rsidRDefault="00F42A6A" w:rsidP="005558EB">
            <w:pPr>
              <w:tabs>
                <w:tab w:val="left" w:pos="851"/>
              </w:tabs>
              <w:spacing w:after="0" w:line="240" w:lineRule="auto"/>
              <w:jc w:val="both"/>
              <w:rPr>
                <w:rFonts w:ascii="Times New Roman" w:eastAsia="Times New Roman" w:hAnsi="Times New Roman" w:cs="Times New Roman"/>
                <w:sz w:val="24"/>
                <w:szCs w:val="24"/>
                <w:lang w:eastAsia="lv-LV"/>
              </w:rPr>
            </w:pPr>
            <w:r w:rsidRPr="00F42A6A">
              <w:rPr>
                <w:rFonts w:ascii="Times New Roman" w:eastAsia="Times New Roman" w:hAnsi="Times New Roman" w:cs="Times New Roman"/>
                <w:sz w:val="24"/>
                <w:szCs w:val="24"/>
                <w:lang w:eastAsia="lv-LV"/>
              </w:rPr>
              <w:t>Saskaņā ar</w:t>
            </w:r>
            <w:r>
              <w:rPr>
                <w:rFonts w:ascii="Times New Roman" w:eastAsia="Times New Roman" w:hAnsi="Times New Roman" w:cs="Times New Roman"/>
                <w:b/>
                <w:bCs/>
                <w:sz w:val="24"/>
                <w:szCs w:val="24"/>
                <w:lang w:eastAsia="lv-LV"/>
              </w:rPr>
              <w:t xml:space="preserve"> KPL 261</w:t>
            </w:r>
            <w:r w:rsidR="00B63CE2" w:rsidRPr="00B61B00">
              <w:rPr>
                <w:rFonts w:ascii="Times New Roman" w:eastAsia="Times New Roman" w:hAnsi="Times New Roman" w:cs="Times New Roman"/>
                <w:b/>
                <w:bCs/>
                <w:sz w:val="24"/>
                <w:szCs w:val="24"/>
                <w:lang w:eastAsia="lv-LV"/>
              </w:rPr>
              <w:t>.</w:t>
            </w:r>
            <w:r w:rsidR="00B63CE2" w:rsidRPr="00B61B00">
              <w:rPr>
                <w:rFonts w:ascii="Times New Roman" w:eastAsia="Times New Roman" w:hAnsi="Times New Roman" w:cs="Times New Roman"/>
                <w:b/>
                <w:bCs/>
                <w:sz w:val="24"/>
                <w:szCs w:val="24"/>
                <w:vertAlign w:val="superscript"/>
                <w:lang w:eastAsia="lv-LV"/>
              </w:rPr>
              <w:t>1</w:t>
            </w:r>
            <w:r w:rsidR="00B63CE2" w:rsidRPr="00B61B00">
              <w:rPr>
                <w:rFonts w:ascii="Times New Roman" w:eastAsia="Times New Roman" w:hAnsi="Times New Roman" w:cs="Times New Roman"/>
                <w:b/>
                <w:bCs/>
                <w:sz w:val="24"/>
                <w:szCs w:val="24"/>
                <w:lang w:eastAsia="lv-LV"/>
              </w:rPr>
              <w:t xml:space="preserve"> pant</w:t>
            </w:r>
            <w:r>
              <w:rPr>
                <w:rFonts w:ascii="Times New Roman" w:eastAsia="Times New Roman" w:hAnsi="Times New Roman" w:cs="Times New Roman"/>
                <w:b/>
                <w:bCs/>
                <w:sz w:val="24"/>
                <w:szCs w:val="24"/>
                <w:lang w:eastAsia="lv-LV"/>
              </w:rPr>
              <w:t xml:space="preserve">u </w:t>
            </w:r>
            <w:r w:rsidRPr="00F42A6A">
              <w:rPr>
                <w:rFonts w:ascii="Times New Roman" w:eastAsia="Times New Roman" w:hAnsi="Times New Roman" w:cs="Times New Roman"/>
                <w:sz w:val="24"/>
                <w:szCs w:val="24"/>
                <w:lang w:eastAsia="lv-LV"/>
              </w:rPr>
              <w:t>viens no nodrošinājuma līdzekļiem ir n</w:t>
            </w:r>
            <w:r w:rsidR="00B63CE2" w:rsidRPr="00F42A6A">
              <w:rPr>
                <w:rFonts w:ascii="Times New Roman" w:eastAsia="Times New Roman" w:hAnsi="Times New Roman" w:cs="Times New Roman"/>
                <w:sz w:val="24"/>
                <w:szCs w:val="24"/>
                <w:lang w:eastAsia="lv-LV"/>
              </w:rPr>
              <w:t>oteiktu darbību aizliegums</w:t>
            </w:r>
            <w:r w:rsidRPr="00F42A6A">
              <w:rPr>
                <w:rFonts w:ascii="Times New Roman" w:eastAsia="Times New Roman" w:hAnsi="Times New Roman" w:cs="Times New Roman"/>
                <w:sz w:val="24"/>
                <w:szCs w:val="24"/>
                <w:lang w:eastAsia="lv-LV"/>
              </w:rPr>
              <w:t>.</w:t>
            </w:r>
            <w:r>
              <w:rPr>
                <w:rFonts w:ascii="Times New Roman" w:eastAsia="Times New Roman" w:hAnsi="Times New Roman" w:cs="Times New Roman"/>
                <w:b/>
                <w:bCs/>
                <w:sz w:val="24"/>
                <w:szCs w:val="24"/>
                <w:lang w:eastAsia="lv-LV"/>
              </w:rPr>
              <w:t xml:space="preserve"> </w:t>
            </w:r>
            <w:r w:rsidR="00B63CE2" w:rsidRPr="00B61B00">
              <w:rPr>
                <w:rFonts w:ascii="Times New Roman" w:eastAsia="Times New Roman" w:hAnsi="Times New Roman" w:cs="Times New Roman"/>
                <w:sz w:val="24"/>
                <w:szCs w:val="24"/>
                <w:lang w:eastAsia="lv-LV"/>
              </w:rPr>
              <w:t xml:space="preserve">Noteiktu darbību aizliegums ir ar procesa virzītāja lēmumu noteikts ierobežojums </w:t>
            </w:r>
            <w:r w:rsidR="00B63CE2" w:rsidRPr="00B61B00">
              <w:rPr>
                <w:rFonts w:ascii="Times New Roman" w:eastAsia="Calibri" w:hAnsi="Times New Roman" w:cs="Times New Roman"/>
                <w:sz w:val="24"/>
                <w:szCs w:val="24"/>
              </w:rPr>
              <w:t xml:space="preserve">procesā par piespiedu ietekmēšanas līdzekļa piemērošanu juridiskajai personai sakarā ar tās </w:t>
            </w:r>
            <w:r w:rsidR="00B63CE2" w:rsidRPr="00B61B00">
              <w:rPr>
                <w:rFonts w:ascii="Times New Roman" w:hAnsi="Times New Roman" w:cs="Times New Roman"/>
                <w:sz w:val="24"/>
                <w:szCs w:val="24"/>
                <w:shd w:val="clear" w:color="auto" w:fill="FFFFFF"/>
              </w:rPr>
              <w:t>interesēs, šīs personas labā vai tās nepienācīgas pārraudzības vai kontroles rezultātā izdarītu fiziskās personas</w:t>
            </w:r>
            <w:r w:rsidR="00B63CE2" w:rsidRPr="00B61B00">
              <w:rPr>
                <w:rFonts w:ascii="Times New Roman" w:eastAsia="Calibri" w:hAnsi="Times New Roman" w:cs="Times New Roman"/>
                <w:sz w:val="24"/>
                <w:szCs w:val="24"/>
              </w:rPr>
              <w:t xml:space="preserve"> noziedzīgu nodarījumu</w:t>
            </w:r>
            <w:r w:rsidR="00B63CE2" w:rsidRPr="00B61B00">
              <w:rPr>
                <w:rFonts w:ascii="Times New Roman" w:eastAsia="Times New Roman" w:hAnsi="Times New Roman" w:cs="Times New Roman"/>
                <w:sz w:val="24"/>
                <w:szCs w:val="24"/>
                <w:lang w:eastAsia="lv-LV"/>
              </w:rPr>
              <w:t xml:space="preserve"> uz laiku veikt noteikta veida uzņēmējdarbību vai cita veida darbību, ja noziedzīgs nodarījums ir saistīts ar minētās darbības veikšanu.</w:t>
            </w:r>
            <w:r>
              <w:rPr>
                <w:rFonts w:ascii="Times New Roman" w:eastAsia="Times New Roman" w:hAnsi="Times New Roman" w:cs="Times New Roman"/>
                <w:sz w:val="24"/>
                <w:szCs w:val="24"/>
                <w:lang w:eastAsia="lv-LV"/>
              </w:rPr>
              <w:t xml:space="preserve"> </w:t>
            </w:r>
            <w:r w:rsidR="002743E4">
              <w:rPr>
                <w:rFonts w:ascii="Times New Roman" w:eastAsia="Times New Roman" w:hAnsi="Times New Roman" w:cs="Times New Roman"/>
                <w:sz w:val="24"/>
                <w:szCs w:val="24"/>
                <w:lang w:eastAsia="lv-LV"/>
              </w:rPr>
              <w:t>Šādu nodrošinājuma līdzekli paredzēts piemērot gadījumos, ka</w:t>
            </w:r>
            <w:r w:rsidR="00F8671A">
              <w:rPr>
                <w:rFonts w:ascii="Times New Roman" w:eastAsia="Times New Roman" w:hAnsi="Times New Roman" w:cs="Times New Roman"/>
                <w:sz w:val="24"/>
                <w:szCs w:val="24"/>
                <w:lang w:eastAsia="lv-LV"/>
              </w:rPr>
              <w:t>d</w:t>
            </w:r>
            <w:r w:rsidR="002743E4">
              <w:rPr>
                <w:rFonts w:ascii="Times New Roman" w:eastAsia="Times New Roman" w:hAnsi="Times New Roman" w:cs="Times New Roman"/>
                <w:sz w:val="24"/>
                <w:szCs w:val="24"/>
                <w:lang w:eastAsia="lv-LV"/>
              </w:rPr>
              <w:t xml:space="preserve"> ir nepieciešams nodrošināt, </w:t>
            </w:r>
            <w:r w:rsidR="001B505B">
              <w:rPr>
                <w:rFonts w:ascii="Times New Roman" w:eastAsia="Times New Roman" w:hAnsi="Times New Roman" w:cs="Times New Roman"/>
                <w:sz w:val="24"/>
                <w:szCs w:val="24"/>
                <w:lang w:eastAsia="lv-LV"/>
              </w:rPr>
              <w:t xml:space="preserve">lai </w:t>
            </w:r>
            <w:r w:rsidR="002743E4">
              <w:rPr>
                <w:rFonts w:ascii="Times New Roman" w:eastAsia="Times New Roman" w:hAnsi="Times New Roman" w:cs="Times New Roman"/>
                <w:sz w:val="24"/>
                <w:szCs w:val="24"/>
                <w:lang w:eastAsia="lv-LV"/>
              </w:rPr>
              <w:t xml:space="preserve">noziedzīgais nodarījums </w:t>
            </w:r>
            <w:r w:rsidR="001B505B">
              <w:rPr>
                <w:rFonts w:ascii="Times New Roman" w:eastAsia="Times New Roman" w:hAnsi="Times New Roman" w:cs="Times New Roman"/>
                <w:sz w:val="24"/>
                <w:szCs w:val="24"/>
                <w:lang w:eastAsia="lv-LV"/>
              </w:rPr>
              <w:t xml:space="preserve">netiktu </w:t>
            </w:r>
            <w:r w:rsidR="002743E4">
              <w:rPr>
                <w:rFonts w:ascii="Times New Roman" w:eastAsia="Times New Roman" w:hAnsi="Times New Roman" w:cs="Times New Roman"/>
                <w:sz w:val="24"/>
                <w:szCs w:val="24"/>
                <w:lang w:eastAsia="lv-LV"/>
              </w:rPr>
              <w:t xml:space="preserve">turpināts, kā arī tiesību apdraudējuma gadījumos, ja nav institūcijas, kas spēj efektīvi nodrošināt </w:t>
            </w:r>
            <w:r w:rsidR="000967C7">
              <w:rPr>
                <w:rFonts w:ascii="Times New Roman" w:eastAsia="Times New Roman" w:hAnsi="Times New Roman" w:cs="Times New Roman"/>
                <w:sz w:val="24"/>
                <w:szCs w:val="24"/>
                <w:lang w:eastAsia="lv-LV"/>
              </w:rPr>
              <w:t>noteiktu darbību aizliegumu. Kā piemēram, gadījumā, ja juridiskās personas darbības rezultātā tiek nodarīts būtisks kaitējums videi</w:t>
            </w:r>
            <w:r w:rsidR="001B505B">
              <w:rPr>
                <w:rFonts w:ascii="Times New Roman" w:eastAsia="Times New Roman" w:hAnsi="Times New Roman" w:cs="Times New Roman"/>
                <w:sz w:val="24"/>
                <w:szCs w:val="24"/>
                <w:lang w:eastAsia="lv-LV"/>
              </w:rPr>
              <w:t>,</w:t>
            </w:r>
            <w:r w:rsidR="000967C7">
              <w:rPr>
                <w:rFonts w:ascii="Times New Roman" w:eastAsia="Times New Roman" w:hAnsi="Times New Roman" w:cs="Times New Roman"/>
                <w:sz w:val="24"/>
                <w:szCs w:val="24"/>
                <w:lang w:eastAsia="lv-LV"/>
              </w:rPr>
              <w:t xml:space="preserve"> par ko ir </w:t>
            </w:r>
            <w:r w:rsidR="00CB201F">
              <w:rPr>
                <w:rFonts w:ascii="Times New Roman" w:eastAsia="Times New Roman" w:hAnsi="Times New Roman" w:cs="Times New Roman"/>
                <w:sz w:val="24"/>
                <w:szCs w:val="24"/>
                <w:lang w:eastAsia="lv-LV"/>
              </w:rPr>
              <w:t>uzsākts</w:t>
            </w:r>
            <w:r w:rsidR="000967C7">
              <w:rPr>
                <w:rFonts w:ascii="Times New Roman" w:eastAsia="Times New Roman" w:hAnsi="Times New Roman" w:cs="Times New Roman"/>
                <w:sz w:val="24"/>
                <w:szCs w:val="24"/>
                <w:lang w:eastAsia="lv-LV"/>
              </w:rPr>
              <w:t xml:space="preserve"> kriminālprocess pēc Krimināllikuma </w:t>
            </w:r>
            <w:r w:rsidR="000967C7" w:rsidRPr="000967C7">
              <w:rPr>
                <w:rFonts w:ascii="Times New Roman" w:eastAsia="Times New Roman" w:hAnsi="Times New Roman" w:cs="Times New Roman"/>
                <w:sz w:val="24"/>
                <w:szCs w:val="24"/>
                <w:lang w:eastAsia="lv-LV"/>
              </w:rPr>
              <w:t>XI nodaļa</w:t>
            </w:r>
            <w:r w:rsidR="000967C7">
              <w:rPr>
                <w:rFonts w:ascii="Times New Roman" w:eastAsia="Times New Roman" w:hAnsi="Times New Roman" w:cs="Times New Roman"/>
                <w:sz w:val="24"/>
                <w:szCs w:val="24"/>
                <w:lang w:eastAsia="lv-LV"/>
              </w:rPr>
              <w:t>s (n</w:t>
            </w:r>
            <w:r w:rsidR="000967C7" w:rsidRPr="000967C7">
              <w:rPr>
                <w:rFonts w:ascii="Times New Roman" w:eastAsia="Times New Roman" w:hAnsi="Times New Roman" w:cs="Times New Roman"/>
                <w:sz w:val="24"/>
                <w:szCs w:val="24"/>
                <w:lang w:eastAsia="lv-LV"/>
              </w:rPr>
              <w:t>oziedzīgi nodarījumi pret dabas vidi</w:t>
            </w:r>
            <w:r w:rsidR="000967C7">
              <w:rPr>
                <w:rFonts w:ascii="Times New Roman" w:eastAsia="Times New Roman" w:hAnsi="Times New Roman" w:cs="Times New Roman"/>
                <w:sz w:val="24"/>
                <w:szCs w:val="24"/>
                <w:lang w:eastAsia="lv-LV"/>
              </w:rPr>
              <w:t>)</w:t>
            </w:r>
            <w:r w:rsidR="002743E4">
              <w:rPr>
                <w:rFonts w:ascii="Times New Roman" w:eastAsia="Times New Roman" w:hAnsi="Times New Roman" w:cs="Times New Roman"/>
                <w:sz w:val="24"/>
                <w:szCs w:val="24"/>
                <w:lang w:eastAsia="lv-LV"/>
              </w:rPr>
              <w:t xml:space="preserve"> </w:t>
            </w:r>
            <w:r w:rsidR="000967C7">
              <w:rPr>
                <w:rFonts w:ascii="Times New Roman" w:eastAsia="Times New Roman" w:hAnsi="Times New Roman" w:cs="Times New Roman"/>
                <w:sz w:val="24"/>
                <w:szCs w:val="24"/>
                <w:lang w:eastAsia="lv-LV"/>
              </w:rPr>
              <w:t xml:space="preserve">un ir nepieciešams nodrošināt, ka šādas darbības turpmāk netiks veiktas. </w:t>
            </w:r>
          </w:p>
          <w:p w14:paraId="06F7D8C1" w14:textId="28B3E350" w:rsidR="000967C7" w:rsidRDefault="00F42A6A" w:rsidP="005558EB">
            <w:pPr>
              <w:tabs>
                <w:tab w:val="left" w:pos="851"/>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Savukārt saskaņā ar </w:t>
            </w:r>
            <w:r w:rsidRPr="00F42A6A">
              <w:rPr>
                <w:rFonts w:ascii="Times New Roman" w:eastAsia="Times New Roman" w:hAnsi="Times New Roman" w:cs="Times New Roman"/>
                <w:b/>
                <w:bCs/>
                <w:sz w:val="24"/>
                <w:szCs w:val="24"/>
                <w:lang w:eastAsia="lv-LV"/>
              </w:rPr>
              <w:t>KPL</w:t>
            </w:r>
            <w:r>
              <w:rPr>
                <w:rFonts w:ascii="Times New Roman" w:eastAsia="Times New Roman" w:hAnsi="Times New Roman" w:cs="Times New Roman"/>
                <w:sz w:val="24"/>
                <w:szCs w:val="24"/>
                <w:lang w:eastAsia="lv-LV"/>
              </w:rPr>
              <w:t xml:space="preserve"> </w:t>
            </w:r>
            <w:r w:rsidR="00B63CE2" w:rsidRPr="00B61B00">
              <w:rPr>
                <w:rFonts w:ascii="Times New Roman" w:eastAsia="Times New Roman" w:hAnsi="Times New Roman" w:cs="Times New Roman"/>
                <w:b/>
                <w:bCs/>
                <w:sz w:val="24"/>
                <w:szCs w:val="24"/>
                <w:lang w:eastAsia="lv-LV"/>
              </w:rPr>
              <w:t>261.</w:t>
            </w:r>
            <w:r w:rsidR="00B63CE2" w:rsidRPr="00B61B00">
              <w:rPr>
                <w:rFonts w:ascii="Times New Roman" w:eastAsia="Times New Roman" w:hAnsi="Times New Roman" w:cs="Times New Roman"/>
                <w:b/>
                <w:bCs/>
                <w:sz w:val="24"/>
                <w:szCs w:val="24"/>
                <w:vertAlign w:val="superscript"/>
                <w:lang w:eastAsia="lv-LV"/>
              </w:rPr>
              <w:t>2</w:t>
            </w:r>
            <w:r w:rsidR="00B63CE2" w:rsidRPr="00B61B00">
              <w:rPr>
                <w:rFonts w:ascii="Times New Roman" w:eastAsia="Times New Roman" w:hAnsi="Times New Roman" w:cs="Times New Roman"/>
                <w:b/>
                <w:bCs/>
                <w:sz w:val="24"/>
                <w:szCs w:val="24"/>
                <w:lang w:eastAsia="lv-LV"/>
              </w:rPr>
              <w:t xml:space="preserve"> pant</w:t>
            </w:r>
            <w:r>
              <w:rPr>
                <w:rFonts w:ascii="Times New Roman" w:eastAsia="Times New Roman" w:hAnsi="Times New Roman" w:cs="Times New Roman"/>
                <w:b/>
                <w:bCs/>
                <w:sz w:val="24"/>
                <w:szCs w:val="24"/>
                <w:lang w:eastAsia="lv-LV"/>
              </w:rPr>
              <w:t xml:space="preserve">u </w:t>
            </w:r>
            <w:r w:rsidRPr="00F42A6A">
              <w:rPr>
                <w:rFonts w:ascii="Times New Roman" w:eastAsia="Times New Roman" w:hAnsi="Times New Roman" w:cs="Times New Roman"/>
                <w:sz w:val="24"/>
                <w:szCs w:val="24"/>
                <w:lang w:eastAsia="lv-LV"/>
              </w:rPr>
              <w:t>nodrošinājuma līdzeklis ir a</w:t>
            </w:r>
            <w:r w:rsidR="00B63CE2" w:rsidRPr="00F42A6A">
              <w:rPr>
                <w:rFonts w:ascii="Times New Roman" w:eastAsia="Times New Roman" w:hAnsi="Times New Roman" w:cs="Times New Roman"/>
                <w:sz w:val="24"/>
                <w:szCs w:val="24"/>
                <w:lang w:eastAsia="lv-LV"/>
              </w:rPr>
              <w:t xml:space="preserve">izliegums veikt izmaiņas </w:t>
            </w:r>
            <w:r w:rsidR="00B63CE2" w:rsidRPr="00F42A6A">
              <w:rPr>
                <w:rFonts w:ascii="Times New Roman" w:eastAsia="Calibri" w:hAnsi="Times New Roman" w:cs="Times New Roman"/>
                <w:sz w:val="24"/>
                <w:szCs w:val="24"/>
              </w:rPr>
              <w:t>Uzņēmumu reģistra vestajos reģistros</w:t>
            </w:r>
            <w:r w:rsidRPr="00F42A6A">
              <w:rPr>
                <w:rFonts w:ascii="Times New Roman" w:eastAsia="Times New Roman" w:hAnsi="Times New Roman" w:cs="Times New Roman"/>
                <w:sz w:val="24"/>
                <w:szCs w:val="24"/>
                <w:lang w:eastAsia="lv-LV"/>
              </w:rPr>
              <w:t xml:space="preserve">. Saskaņā ar panta pirmo daļu </w:t>
            </w:r>
            <w:r>
              <w:rPr>
                <w:rFonts w:ascii="Times New Roman" w:eastAsia="Times New Roman" w:hAnsi="Times New Roman" w:cs="Times New Roman"/>
                <w:sz w:val="24"/>
                <w:szCs w:val="24"/>
                <w:lang w:eastAsia="lv-LV"/>
              </w:rPr>
              <w:t>a</w:t>
            </w:r>
            <w:r w:rsidR="00B63CE2" w:rsidRPr="00B61B00">
              <w:rPr>
                <w:rFonts w:ascii="Times New Roman" w:hAnsi="Times New Roman" w:cs="Times New Roman"/>
                <w:color w:val="000000"/>
                <w:sz w:val="24"/>
                <w:szCs w:val="24"/>
                <w:bdr w:val="none" w:sz="0" w:space="0" w:color="auto" w:frame="1"/>
                <w:shd w:val="clear" w:color="auto" w:fill="FFFFFF"/>
              </w:rPr>
              <w:t xml:space="preserve">izliegums veikt izmaiņas Uzņēmumu reģistra vestajos reģistros bez procesa virzītāja atļaujas ir ar procesa virzītāja lēmumu noteikta aizlieguma atzīmes ierakstīšana Uzņēmumu reģistrā juridiskās personas reorganizācijai, likvidācijai, </w:t>
            </w:r>
            <w:r w:rsidR="00B63CE2" w:rsidRPr="00B61B00">
              <w:rPr>
                <w:rFonts w:ascii="Times New Roman" w:hAnsi="Times New Roman" w:cs="Times New Roman"/>
                <w:sz w:val="24"/>
                <w:szCs w:val="24"/>
                <w:bdr w:val="none" w:sz="0" w:space="0" w:color="auto" w:frame="1"/>
                <w:shd w:val="clear" w:color="auto" w:fill="FFFFFF"/>
              </w:rPr>
              <w:t xml:space="preserve">amatpersonu, dalībnieku un akcionāru maiņai vai </w:t>
            </w:r>
            <w:r w:rsidR="00B63CE2" w:rsidRPr="00B61B00">
              <w:rPr>
                <w:rFonts w:ascii="Times New Roman" w:hAnsi="Times New Roman" w:cs="Times New Roman"/>
                <w:sz w:val="24"/>
                <w:szCs w:val="24"/>
                <w:shd w:val="clear" w:color="auto" w:fill="FFFFFF"/>
              </w:rPr>
              <w:t xml:space="preserve">komercķīlas reģistrācijai, pārjaunošanai un grozīšanai </w:t>
            </w:r>
            <w:r w:rsidR="00B63CE2" w:rsidRPr="00B61B00">
              <w:rPr>
                <w:rFonts w:ascii="Times New Roman" w:hAnsi="Times New Roman" w:cs="Times New Roman"/>
                <w:color w:val="000000"/>
                <w:sz w:val="24"/>
                <w:szCs w:val="24"/>
                <w:bdr w:val="none" w:sz="0" w:space="0" w:color="auto" w:frame="1"/>
                <w:shd w:val="clear" w:color="auto" w:fill="FFFFFF"/>
              </w:rPr>
              <w:t xml:space="preserve">procesā par piespiedu ietekmēšanas līdzekļa piemērošanu </w:t>
            </w:r>
            <w:r w:rsidR="00B63CE2" w:rsidRPr="00B61B00">
              <w:rPr>
                <w:rFonts w:ascii="Times New Roman" w:hAnsi="Times New Roman" w:cs="Times New Roman"/>
                <w:color w:val="000000"/>
                <w:sz w:val="24"/>
                <w:szCs w:val="24"/>
                <w:bdr w:val="none" w:sz="0" w:space="0" w:color="auto" w:frame="1"/>
                <w:shd w:val="clear" w:color="auto" w:fill="FFFFFF"/>
              </w:rPr>
              <w:lastRenderedPageBreak/>
              <w:t>juridiskajai personai sakarā ar tās interesēs, šīs personas labā vai tās nepienācīgas pārraudzības vai kontroles rezultātā izdarītu fiziskās personas noziedzīgu nodarījumu. </w:t>
            </w:r>
            <w:r w:rsidR="00B63CE2" w:rsidRPr="00305ADB">
              <w:rPr>
                <w:rFonts w:ascii="Times New Roman" w:hAnsi="Times New Roman" w:cs="Times New Roman"/>
                <w:b/>
                <w:bCs/>
                <w:sz w:val="24"/>
                <w:szCs w:val="24"/>
              </w:rPr>
              <w:t>Procesa virzītājs var pieņemt lēmumu arī par citas aizlieguma atzīmes ierakstīšanu Uzņēmumu reģistrā, norādot konkrētu aizlieguma veidu.</w:t>
            </w:r>
            <w:r w:rsidR="000967C7">
              <w:rPr>
                <w:rFonts w:ascii="Times New Roman" w:hAnsi="Times New Roman" w:cs="Times New Roman"/>
                <w:sz w:val="24"/>
                <w:szCs w:val="24"/>
              </w:rPr>
              <w:t xml:space="preserve"> Minētais nodrošinājuma līdzeklis ir būtisks gadījumos, kad procesa virzītājam ir pamatotas aizdomas, ka juridiskā persona izvairīsies no piemērotā piespiedu ietekmēšanas līdzekļa</w:t>
            </w:r>
            <w:r w:rsidR="001B505B">
              <w:rPr>
                <w:rFonts w:ascii="Times New Roman" w:hAnsi="Times New Roman" w:cs="Times New Roman"/>
                <w:sz w:val="24"/>
                <w:szCs w:val="24"/>
              </w:rPr>
              <w:t xml:space="preserve"> izpildes</w:t>
            </w:r>
            <w:r w:rsidR="00F8671A">
              <w:rPr>
                <w:rFonts w:ascii="Times New Roman" w:hAnsi="Times New Roman" w:cs="Times New Roman"/>
                <w:sz w:val="24"/>
                <w:szCs w:val="24"/>
              </w:rPr>
              <w:t>,</w:t>
            </w:r>
            <w:r w:rsidR="000967C7">
              <w:rPr>
                <w:rFonts w:ascii="Times New Roman" w:hAnsi="Times New Roman" w:cs="Times New Roman"/>
                <w:sz w:val="24"/>
                <w:szCs w:val="24"/>
              </w:rPr>
              <w:t xml:space="preserve"> veicot pašlikvidāciju</w:t>
            </w:r>
            <w:r w:rsidR="00F8671A">
              <w:rPr>
                <w:rFonts w:ascii="Times New Roman" w:hAnsi="Times New Roman" w:cs="Times New Roman"/>
                <w:sz w:val="24"/>
                <w:szCs w:val="24"/>
              </w:rPr>
              <w:t>,</w:t>
            </w:r>
            <w:r w:rsidR="000967C7">
              <w:rPr>
                <w:rFonts w:ascii="Times New Roman" w:hAnsi="Times New Roman" w:cs="Times New Roman"/>
                <w:sz w:val="24"/>
                <w:szCs w:val="24"/>
              </w:rPr>
              <w:t xml:space="preserve"> vai reorganizācijas gadījumā sapludinās uzņēmumu ar citu uzņēmumu, kā rezultātā nebūs iespējams sasniegt kriminālprocesa mērķi. </w:t>
            </w:r>
            <w:r w:rsidR="00E40790">
              <w:rPr>
                <w:rFonts w:ascii="Times New Roman" w:hAnsi="Times New Roman" w:cs="Times New Roman"/>
                <w:sz w:val="24"/>
                <w:szCs w:val="24"/>
              </w:rPr>
              <w:t xml:space="preserve">Vienlaikus norādāms, ka procesa virzītājam ir tiesības piemērot arī citas aizlieguma atzīmes ierakstīšanu, </w:t>
            </w:r>
            <w:r w:rsidR="00210C8B">
              <w:rPr>
                <w:rFonts w:ascii="Times New Roman" w:hAnsi="Times New Roman" w:cs="Times New Roman"/>
                <w:sz w:val="24"/>
                <w:szCs w:val="24"/>
              </w:rPr>
              <w:t xml:space="preserve">konkrēti norādot aizlieguma veidu, </w:t>
            </w:r>
            <w:r w:rsidR="00E40790">
              <w:rPr>
                <w:rFonts w:ascii="Times New Roman" w:hAnsi="Times New Roman" w:cs="Times New Roman"/>
                <w:sz w:val="24"/>
                <w:szCs w:val="24"/>
              </w:rPr>
              <w:t>ja atzīst to par nepieciešamu</w:t>
            </w:r>
            <w:r w:rsidR="00210C8B">
              <w:rPr>
                <w:rFonts w:ascii="Times New Roman" w:hAnsi="Times New Roman" w:cs="Times New Roman"/>
                <w:sz w:val="24"/>
                <w:szCs w:val="24"/>
              </w:rPr>
              <w:t xml:space="preserve">. Vienlaikus norādāms, ka, lai šādu lēmumu varētu izpildīt un tas pārmērīgi neierobežotu juridiskās personas darbību, lēmumā par šā nodrošinājuma līdzekļa piemērošanu ir jānorāda konkrēti katrs aizlieguma veids atsevišķi. </w:t>
            </w:r>
            <w:r>
              <w:rPr>
                <w:rFonts w:ascii="Times New Roman" w:hAnsi="Times New Roman" w:cs="Times New Roman"/>
                <w:sz w:val="24"/>
                <w:szCs w:val="24"/>
              </w:rPr>
              <w:t>Savukārt atbilstoši panta otrajai daļai p</w:t>
            </w:r>
            <w:r w:rsidR="00B63CE2" w:rsidRPr="00B61B00">
              <w:rPr>
                <w:rFonts w:ascii="Times New Roman" w:hAnsi="Times New Roman" w:cs="Times New Roman"/>
                <w:sz w:val="24"/>
                <w:szCs w:val="24"/>
              </w:rPr>
              <w:t xml:space="preserve">rocesa virzītājs var noteikt vienu vai vairākus šā panta pirmajā daļā </w:t>
            </w:r>
            <w:r w:rsidR="00B63CE2" w:rsidRPr="00B61B00">
              <w:rPr>
                <w:rFonts w:ascii="Times New Roman" w:eastAsia="Calibri" w:hAnsi="Times New Roman" w:cs="Times New Roman"/>
                <w:sz w:val="24"/>
                <w:szCs w:val="24"/>
              </w:rPr>
              <w:t xml:space="preserve">paredzētos aizliegumus. </w:t>
            </w:r>
            <w:r>
              <w:rPr>
                <w:rFonts w:ascii="Times New Roman" w:eastAsia="Calibri" w:hAnsi="Times New Roman" w:cs="Times New Roman"/>
                <w:sz w:val="24"/>
                <w:szCs w:val="24"/>
              </w:rPr>
              <w:t>Saskaņā ar panta trešo daļu l</w:t>
            </w:r>
            <w:r w:rsidR="00B63CE2" w:rsidRPr="00B61B00">
              <w:rPr>
                <w:rFonts w:ascii="Times New Roman" w:eastAsia="Times New Roman" w:hAnsi="Times New Roman" w:cs="Times New Roman"/>
                <w:sz w:val="24"/>
                <w:szCs w:val="24"/>
                <w:lang w:eastAsia="lv-LV"/>
              </w:rPr>
              <w:t xml:space="preserve">ēmumu par nodrošinājuma pieņemšanu </w:t>
            </w:r>
            <w:proofErr w:type="spellStart"/>
            <w:r w:rsidR="00B63CE2" w:rsidRPr="00B61B00">
              <w:rPr>
                <w:rFonts w:ascii="Times New Roman" w:eastAsia="Times New Roman" w:hAnsi="Times New Roman" w:cs="Times New Roman"/>
                <w:sz w:val="24"/>
                <w:szCs w:val="24"/>
                <w:lang w:eastAsia="lv-LV"/>
              </w:rPr>
              <w:t>nosūta</w:t>
            </w:r>
            <w:proofErr w:type="spellEnd"/>
            <w:r w:rsidR="00B63CE2" w:rsidRPr="00B61B00">
              <w:rPr>
                <w:rFonts w:ascii="Times New Roman" w:eastAsia="Times New Roman" w:hAnsi="Times New Roman" w:cs="Times New Roman"/>
                <w:sz w:val="24"/>
                <w:szCs w:val="24"/>
                <w:lang w:eastAsia="lv-LV"/>
              </w:rPr>
              <w:t xml:space="preserve"> izpildei Uzņēmumu reģistram.</w:t>
            </w:r>
            <w:r>
              <w:rPr>
                <w:rFonts w:ascii="Times New Roman" w:eastAsia="Times New Roman" w:hAnsi="Times New Roman" w:cs="Times New Roman"/>
                <w:sz w:val="24"/>
                <w:szCs w:val="24"/>
                <w:lang w:eastAsia="lv-LV"/>
              </w:rPr>
              <w:t xml:space="preserve"> </w:t>
            </w:r>
            <w:r w:rsidR="00CB201F">
              <w:rPr>
                <w:rFonts w:ascii="Times New Roman" w:eastAsia="Times New Roman" w:hAnsi="Times New Roman" w:cs="Times New Roman"/>
                <w:sz w:val="24"/>
                <w:szCs w:val="24"/>
                <w:lang w:eastAsia="lv-LV"/>
              </w:rPr>
              <w:t>Attiecīgi U</w:t>
            </w:r>
            <w:r w:rsidR="00BC5AB9">
              <w:rPr>
                <w:rFonts w:ascii="Times New Roman" w:eastAsia="Times New Roman" w:hAnsi="Times New Roman" w:cs="Times New Roman"/>
                <w:sz w:val="24"/>
                <w:szCs w:val="24"/>
                <w:lang w:eastAsia="lv-LV"/>
              </w:rPr>
              <w:t>zņēmumu reģistrs</w:t>
            </w:r>
            <w:r w:rsidR="00CB201F">
              <w:rPr>
                <w:rFonts w:ascii="Times New Roman" w:eastAsia="Times New Roman" w:hAnsi="Times New Roman" w:cs="Times New Roman"/>
                <w:sz w:val="24"/>
                <w:szCs w:val="24"/>
                <w:lang w:eastAsia="lv-LV"/>
              </w:rPr>
              <w:t xml:space="preserve"> attiecīgajā reģistrā reģistrēs nodrošinājuma līdzekli. Ja U</w:t>
            </w:r>
            <w:r w:rsidR="00BC5AB9">
              <w:rPr>
                <w:rFonts w:ascii="Times New Roman" w:eastAsia="Times New Roman" w:hAnsi="Times New Roman" w:cs="Times New Roman"/>
                <w:sz w:val="24"/>
                <w:szCs w:val="24"/>
                <w:lang w:eastAsia="lv-LV"/>
              </w:rPr>
              <w:t>zņēmumu reģistrā</w:t>
            </w:r>
            <w:r w:rsidR="00CB201F">
              <w:rPr>
                <w:rFonts w:ascii="Times New Roman" w:eastAsia="Times New Roman" w:hAnsi="Times New Roman" w:cs="Times New Roman"/>
                <w:sz w:val="24"/>
                <w:szCs w:val="24"/>
                <w:lang w:eastAsia="lv-LV"/>
              </w:rPr>
              <w:t xml:space="preserve"> tiks saņemts pieteikums tādu izmaiņu reģistrācijai, ko reģistrētais nodrošinājuma līdzeklis </w:t>
            </w:r>
            <w:r w:rsidR="005130AB">
              <w:rPr>
                <w:rFonts w:ascii="Times New Roman" w:eastAsia="Times New Roman" w:hAnsi="Times New Roman" w:cs="Times New Roman"/>
                <w:sz w:val="24"/>
                <w:szCs w:val="24"/>
                <w:lang w:eastAsia="lv-LV"/>
              </w:rPr>
              <w:t>aiz</w:t>
            </w:r>
            <w:r w:rsidR="00CB201F">
              <w:rPr>
                <w:rFonts w:ascii="Times New Roman" w:eastAsia="Times New Roman" w:hAnsi="Times New Roman" w:cs="Times New Roman"/>
                <w:sz w:val="24"/>
                <w:szCs w:val="24"/>
                <w:lang w:eastAsia="lv-LV"/>
              </w:rPr>
              <w:t xml:space="preserve">liedz, tad pieteiktās izmaiņas tiks reģistrētas tikai pēc procesa virzītāja atļaujas saņemšanas. </w:t>
            </w:r>
          </w:p>
          <w:p w14:paraId="1E8FCD4E" w14:textId="32FB0A1A" w:rsidR="00E40790" w:rsidRPr="00210C8B" w:rsidRDefault="005558EB" w:rsidP="005558EB">
            <w:pPr>
              <w:tabs>
                <w:tab w:val="left" w:pos="851"/>
              </w:tabs>
              <w:spacing w:after="0" w:line="240" w:lineRule="auto"/>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lang w:eastAsia="lv-LV"/>
              </w:rPr>
              <w:t xml:space="preserve">Savukārt </w:t>
            </w:r>
            <w:r w:rsidRPr="005558EB">
              <w:rPr>
                <w:rFonts w:ascii="Times New Roman" w:eastAsia="Times New Roman" w:hAnsi="Times New Roman" w:cs="Times New Roman"/>
                <w:b/>
                <w:bCs/>
                <w:sz w:val="24"/>
                <w:szCs w:val="24"/>
                <w:lang w:eastAsia="lv-LV"/>
              </w:rPr>
              <w:t>KPL</w:t>
            </w:r>
            <w:r>
              <w:rPr>
                <w:rFonts w:ascii="Times New Roman" w:eastAsia="Times New Roman" w:hAnsi="Times New Roman" w:cs="Times New Roman"/>
                <w:sz w:val="24"/>
                <w:szCs w:val="24"/>
                <w:lang w:eastAsia="lv-LV"/>
              </w:rPr>
              <w:t xml:space="preserve"> </w:t>
            </w:r>
            <w:r w:rsidR="00B63CE2" w:rsidRPr="00B61B00">
              <w:rPr>
                <w:rFonts w:ascii="Times New Roman" w:eastAsia="Calibri" w:hAnsi="Times New Roman" w:cs="Times New Roman"/>
                <w:b/>
                <w:bCs/>
                <w:sz w:val="24"/>
                <w:szCs w:val="24"/>
              </w:rPr>
              <w:t>261.</w:t>
            </w:r>
            <w:r w:rsidR="00B63CE2" w:rsidRPr="00B61B00">
              <w:rPr>
                <w:rFonts w:ascii="Times New Roman" w:eastAsia="Calibri" w:hAnsi="Times New Roman" w:cs="Times New Roman"/>
                <w:b/>
                <w:bCs/>
                <w:sz w:val="24"/>
                <w:szCs w:val="24"/>
                <w:vertAlign w:val="superscript"/>
              </w:rPr>
              <w:t>3</w:t>
            </w:r>
            <w:r w:rsidR="00B63CE2" w:rsidRPr="00B61B00">
              <w:rPr>
                <w:rFonts w:ascii="Times New Roman" w:eastAsia="Calibri" w:hAnsi="Times New Roman" w:cs="Times New Roman"/>
                <w:b/>
                <w:bCs/>
                <w:sz w:val="24"/>
                <w:szCs w:val="24"/>
              </w:rPr>
              <w:t> pant</w:t>
            </w:r>
            <w:r w:rsidR="0045025F">
              <w:rPr>
                <w:rFonts w:ascii="Times New Roman" w:eastAsia="Calibri" w:hAnsi="Times New Roman" w:cs="Times New Roman"/>
                <w:b/>
                <w:bCs/>
                <w:sz w:val="24"/>
                <w:szCs w:val="24"/>
              </w:rPr>
              <w:t>ā</w:t>
            </w:r>
            <w:r>
              <w:rPr>
                <w:rFonts w:ascii="Times New Roman" w:eastAsia="Calibri" w:hAnsi="Times New Roman" w:cs="Times New Roman"/>
                <w:b/>
                <w:bCs/>
                <w:sz w:val="24"/>
                <w:szCs w:val="24"/>
              </w:rPr>
              <w:t xml:space="preserve"> </w:t>
            </w:r>
            <w:r w:rsidRPr="00210C8B">
              <w:rPr>
                <w:rFonts w:ascii="Times New Roman" w:eastAsia="Calibri" w:hAnsi="Times New Roman" w:cs="Times New Roman"/>
                <w:sz w:val="24"/>
                <w:szCs w:val="24"/>
              </w:rPr>
              <w:t>paredzēts nodrošinājuma līdzeklis -</w:t>
            </w:r>
            <w:r w:rsidR="00210C8B" w:rsidRPr="00210C8B">
              <w:rPr>
                <w:rFonts w:ascii="Times New Roman" w:eastAsia="Calibri" w:hAnsi="Times New Roman" w:cs="Times New Roman"/>
                <w:sz w:val="24"/>
                <w:szCs w:val="24"/>
              </w:rPr>
              <w:t xml:space="preserve"> </w:t>
            </w:r>
            <w:r w:rsidRPr="00210C8B">
              <w:rPr>
                <w:rFonts w:ascii="Times New Roman" w:eastAsia="Calibri" w:hAnsi="Times New Roman" w:cs="Times New Roman"/>
                <w:sz w:val="24"/>
                <w:szCs w:val="24"/>
              </w:rPr>
              <w:t>a</w:t>
            </w:r>
            <w:r w:rsidR="00B63CE2" w:rsidRPr="00210C8B">
              <w:rPr>
                <w:rFonts w:ascii="Times New Roman" w:eastAsia="Calibri" w:hAnsi="Times New Roman" w:cs="Times New Roman"/>
                <w:sz w:val="24"/>
                <w:szCs w:val="24"/>
              </w:rPr>
              <w:t>izliegums veikt uzņēmuma pāreju</w:t>
            </w:r>
            <w:r w:rsidRPr="00210C8B">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 </w:t>
            </w:r>
            <w:r w:rsidR="00B63CE2" w:rsidRPr="00B61B00">
              <w:rPr>
                <w:rFonts w:ascii="Times New Roman" w:eastAsia="Calibri" w:hAnsi="Times New Roman" w:cs="Times New Roman"/>
                <w:sz w:val="24"/>
                <w:szCs w:val="24"/>
              </w:rPr>
              <w:t xml:space="preserve">Aizliegums veikt </w:t>
            </w:r>
            <w:r w:rsidR="00B63CE2" w:rsidRPr="00E40790">
              <w:rPr>
                <w:rFonts w:ascii="Times New Roman" w:eastAsia="Calibri" w:hAnsi="Times New Roman" w:cs="Times New Roman"/>
                <w:sz w:val="24"/>
                <w:szCs w:val="24"/>
              </w:rPr>
              <w:t xml:space="preserve">uzņēmuma pāreju ir ar procesa virzītāja lēmumu noteikts ierobežojums procesā par piespiedu ietekmēšanas </w:t>
            </w:r>
            <w:r w:rsidR="00B63CE2" w:rsidRPr="00210C8B">
              <w:rPr>
                <w:rFonts w:ascii="Times New Roman" w:eastAsia="Calibri" w:hAnsi="Times New Roman" w:cs="Times New Roman"/>
                <w:sz w:val="24"/>
                <w:szCs w:val="24"/>
              </w:rPr>
              <w:t>līdzekļa piemērošanu juridiskajai personai veikt uzņēmuma pāreju atbilstoši Komerclikumā noteiktajam bez procesa virzītāja atļaujas.</w:t>
            </w:r>
            <w:r w:rsidRPr="00210C8B">
              <w:rPr>
                <w:rFonts w:ascii="Times New Roman" w:eastAsia="Calibri" w:hAnsi="Times New Roman" w:cs="Times New Roman"/>
                <w:sz w:val="24"/>
                <w:szCs w:val="24"/>
              </w:rPr>
              <w:t xml:space="preserve"> </w:t>
            </w:r>
            <w:r w:rsidR="000967C7" w:rsidRPr="00210C8B">
              <w:rPr>
                <w:rFonts w:ascii="Times New Roman" w:eastAsia="Calibri" w:hAnsi="Times New Roman" w:cs="Times New Roman"/>
                <w:sz w:val="24"/>
                <w:szCs w:val="24"/>
              </w:rPr>
              <w:t xml:space="preserve">Saskaņā ar Komerclikuma </w:t>
            </w:r>
            <w:r w:rsidR="00E40790" w:rsidRPr="00210C8B">
              <w:rPr>
                <w:rFonts w:ascii="Times New Roman" w:eastAsia="Calibri" w:hAnsi="Times New Roman" w:cs="Times New Roman"/>
                <w:sz w:val="24"/>
                <w:szCs w:val="24"/>
              </w:rPr>
              <w:t xml:space="preserve">20. panta pirmo un otro daļu, uzņēmuma pāreja ir </w:t>
            </w:r>
            <w:r w:rsidR="00E40790" w:rsidRPr="00E40790">
              <w:rPr>
                <w:rFonts w:ascii="Times New Roman" w:eastAsia="Times New Roman" w:hAnsi="Times New Roman" w:cs="Times New Roman"/>
                <w:sz w:val="24"/>
                <w:szCs w:val="24"/>
              </w:rPr>
              <w:t>uzņēmum</w:t>
            </w:r>
            <w:r w:rsidR="00E40790" w:rsidRPr="00210C8B">
              <w:rPr>
                <w:rFonts w:ascii="Times New Roman" w:eastAsia="Times New Roman" w:hAnsi="Times New Roman" w:cs="Times New Roman"/>
                <w:sz w:val="24"/>
                <w:szCs w:val="24"/>
              </w:rPr>
              <w:t xml:space="preserve">a </w:t>
            </w:r>
            <w:r w:rsidR="00E40790" w:rsidRPr="00E40790">
              <w:rPr>
                <w:rFonts w:ascii="Times New Roman" w:eastAsia="Times New Roman" w:hAnsi="Times New Roman" w:cs="Times New Roman"/>
                <w:sz w:val="24"/>
                <w:szCs w:val="24"/>
              </w:rPr>
              <w:t>vai tā patstāvīga</w:t>
            </w:r>
            <w:r w:rsidR="00E40790" w:rsidRPr="00210C8B">
              <w:rPr>
                <w:rFonts w:ascii="Times New Roman" w:eastAsia="Times New Roman" w:hAnsi="Times New Roman" w:cs="Times New Roman"/>
                <w:sz w:val="24"/>
                <w:szCs w:val="24"/>
              </w:rPr>
              <w:t>s</w:t>
            </w:r>
            <w:r w:rsidR="00E40790" w:rsidRPr="00E40790">
              <w:rPr>
                <w:rFonts w:ascii="Times New Roman" w:eastAsia="Times New Roman" w:hAnsi="Times New Roman" w:cs="Times New Roman"/>
                <w:sz w:val="24"/>
                <w:szCs w:val="24"/>
              </w:rPr>
              <w:t xml:space="preserve"> daļa</w:t>
            </w:r>
            <w:r w:rsidR="00E40790" w:rsidRPr="00210C8B">
              <w:rPr>
                <w:rFonts w:ascii="Times New Roman" w:eastAsia="Times New Roman" w:hAnsi="Times New Roman" w:cs="Times New Roman"/>
                <w:sz w:val="24"/>
                <w:szCs w:val="24"/>
              </w:rPr>
              <w:t>s</w:t>
            </w:r>
            <w:r w:rsidR="00E40790" w:rsidRPr="00E40790">
              <w:rPr>
                <w:rFonts w:ascii="Times New Roman" w:eastAsia="Times New Roman" w:hAnsi="Times New Roman" w:cs="Times New Roman"/>
                <w:sz w:val="24"/>
                <w:szCs w:val="24"/>
              </w:rPr>
              <w:t xml:space="preserve"> pārie</w:t>
            </w:r>
            <w:r w:rsidR="00E40790" w:rsidRPr="00210C8B">
              <w:rPr>
                <w:rFonts w:ascii="Times New Roman" w:eastAsia="Times New Roman" w:hAnsi="Times New Roman" w:cs="Times New Roman"/>
                <w:sz w:val="24"/>
                <w:szCs w:val="24"/>
              </w:rPr>
              <w:t>šana</w:t>
            </w:r>
            <w:r w:rsidR="00E40790" w:rsidRPr="00E40790">
              <w:rPr>
                <w:rFonts w:ascii="Times New Roman" w:eastAsia="Times New Roman" w:hAnsi="Times New Roman" w:cs="Times New Roman"/>
                <w:sz w:val="24"/>
                <w:szCs w:val="24"/>
              </w:rPr>
              <w:t xml:space="preserve"> citas personas īpašumā vai lietošanā</w:t>
            </w:r>
            <w:r w:rsidR="00E40790" w:rsidRPr="00210C8B">
              <w:rPr>
                <w:rFonts w:ascii="Times New Roman" w:eastAsia="Times New Roman" w:hAnsi="Times New Roman" w:cs="Times New Roman"/>
                <w:sz w:val="24"/>
                <w:szCs w:val="24"/>
              </w:rPr>
              <w:t xml:space="preserve">. </w:t>
            </w:r>
            <w:r w:rsidR="00210C8B" w:rsidRPr="00210C8B">
              <w:rPr>
                <w:rFonts w:ascii="Times New Roman" w:eastAsia="Times New Roman" w:hAnsi="Times New Roman" w:cs="Times New Roman"/>
                <w:sz w:val="24"/>
                <w:szCs w:val="24"/>
              </w:rPr>
              <w:t xml:space="preserve">Šāds nodrošinājuma līdzeklis ir piemērojams, lai nodrošinātu, ka juridiskā persona civiltiesiski nenodod visas uzņēmuma piederošās lietas (ķermeniskas un </w:t>
            </w:r>
            <w:proofErr w:type="spellStart"/>
            <w:r w:rsidR="00210C8B" w:rsidRPr="00210C8B">
              <w:rPr>
                <w:rFonts w:ascii="Times New Roman" w:eastAsia="Times New Roman" w:hAnsi="Times New Roman" w:cs="Times New Roman"/>
                <w:sz w:val="24"/>
                <w:szCs w:val="24"/>
              </w:rPr>
              <w:t>bezķemeniskas</w:t>
            </w:r>
            <w:proofErr w:type="spellEnd"/>
            <w:r w:rsidR="00210C8B" w:rsidRPr="00210C8B">
              <w:rPr>
                <w:rFonts w:ascii="Times New Roman" w:eastAsia="Times New Roman" w:hAnsi="Times New Roman" w:cs="Times New Roman"/>
                <w:sz w:val="24"/>
                <w:szCs w:val="24"/>
              </w:rPr>
              <w:t xml:space="preserve">) </w:t>
            </w:r>
            <w:r w:rsidR="00210C8B">
              <w:rPr>
                <w:rFonts w:ascii="Times New Roman" w:eastAsia="Times New Roman" w:hAnsi="Times New Roman" w:cs="Times New Roman"/>
                <w:sz w:val="24"/>
                <w:szCs w:val="24"/>
              </w:rPr>
              <w:t xml:space="preserve">citai personai, kā rezultātā </w:t>
            </w:r>
            <w:r w:rsidR="00210C8B" w:rsidRPr="00210C8B">
              <w:rPr>
                <w:rFonts w:ascii="Times New Roman" w:eastAsia="Times New Roman" w:hAnsi="Times New Roman" w:cs="Times New Roman"/>
                <w:sz w:val="24"/>
                <w:szCs w:val="24"/>
              </w:rPr>
              <w:t>kriminālprocesa</w:t>
            </w:r>
            <w:r w:rsidR="00210C8B">
              <w:rPr>
                <w:rFonts w:ascii="Times New Roman" w:eastAsia="Times New Roman" w:hAnsi="Times New Roman" w:cs="Times New Roman"/>
                <w:sz w:val="24"/>
                <w:szCs w:val="24"/>
              </w:rPr>
              <w:t xml:space="preserve"> mērķi nebūs iespējams sasniegt</w:t>
            </w:r>
            <w:r w:rsidR="00BC5AB9">
              <w:rPr>
                <w:rFonts w:ascii="Times New Roman" w:eastAsia="Times New Roman" w:hAnsi="Times New Roman" w:cs="Times New Roman"/>
                <w:sz w:val="24"/>
                <w:szCs w:val="24"/>
              </w:rPr>
              <w:t>.</w:t>
            </w:r>
            <w:r w:rsidR="00210C8B">
              <w:rPr>
                <w:rFonts w:ascii="Times New Roman" w:eastAsia="Times New Roman" w:hAnsi="Times New Roman" w:cs="Times New Roman"/>
                <w:sz w:val="24"/>
                <w:szCs w:val="24"/>
              </w:rPr>
              <w:t xml:space="preserve"> </w:t>
            </w:r>
          </w:p>
          <w:p w14:paraId="67E493F0" w14:textId="2AEA6DDC" w:rsidR="002743E4" w:rsidRPr="00B61B00" w:rsidRDefault="00795D6C" w:rsidP="00795D6C">
            <w:pPr>
              <w:tabs>
                <w:tab w:val="left" w:pos="851"/>
              </w:tabs>
              <w:spacing w:after="0" w:line="240" w:lineRule="auto"/>
              <w:jc w:val="both"/>
              <w:rPr>
                <w:rFonts w:ascii="Times New Roman" w:eastAsia="Calibri" w:hAnsi="Times New Roman" w:cs="Times New Roman"/>
                <w:sz w:val="24"/>
                <w:szCs w:val="24"/>
              </w:rPr>
            </w:pPr>
            <w:r w:rsidRPr="00795D6C">
              <w:rPr>
                <w:rFonts w:ascii="Times New Roman" w:eastAsia="Times New Roman" w:hAnsi="Times New Roman" w:cs="Times New Roman"/>
                <w:sz w:val="24"/>
                <w:szCs w:val="24"/>
                <w:lang w:eastAsia="lv-LV"/>
              </w:rPr>
              <w:t xml:space="preserve">Ar </w:t>
            </w:r>
            <w:r>
              <w:rPr>
                <w:rFonts w:ascii="Times New Roman" w:eastAsia="Times New Roman" w:hAnsi="Times New Roman" w:cs="Times New Roman"/>
                <w:sz w:val="24"/>
                <w:szCs w:val="24"/>
                <w:lang w:eastAsia="lv-LV"/>
              </w:rPr>
              <w:t xml:space="preserve">grozījumiem </w:t>
            </w:r>
            <w:r w:rsidRPr="00510523">
              <w:rPr>
                <w:rFonts w:ascii="Times New Roman" w:eastAsia="Times New Roman" w:hAnsi="Times New Roman" w:cs="Times New Roman"/>
                <w:b/>
                <w:bCs/>
                <w:sz w:val="24"/>
                <w:szCs w:val="24"/>
                <w:lang w:eastAsia="lv-LV"/>
              </w:rPr>
              <w:t>KPL 262.</w:t>
            </w:r>
            <w:r w:rsidR="00510523">
              <w:rPr>
                <w:rFonts w:ascii="Times New Roman" w:eastAsia="Times New Roman" w:hAnsi="Times New Roman" w:cs="Times New Roman"/>
                <w:b/>
                <w:bCs/>
                <w:sz w:val="24"/>
                <w:szCs w:val="24"/>
                <w:lang w:eastAsia="lv-LV"/>
              </w:rPr>
              <w:t> </w:t>
            </w:r>
            <w:r w:rsidRPr="00510523">
              <w:rPr>
                <w:rFonts w:ascii="Times New Roman" w:eastAsia="Times New Roman" w:hAnsi="Times New Roman" w:cs="Times New Roman"/>
                <w:b/>
                <w:bCs/>
                <w:sz w:val="24"/>
                <w:szCs w:val="24"/>
                <w:lang w:eastAsia="lv-LV"/>
              </w:rPr>
              <w:t>pantā</w:t>
            </w:r>
            <w:r>
              <w:rPr>
                <w:rFonts w:ascii="Times New Roman" w:eastAsia="Times New Roman" w:hAnsi="Times New Roman" w:cs="Times New Roman"/>
                <w:sz w:val="24"/>
                <w:szCs w:val="24"/>
                <w:lang w:eastAsia="lv-LV"/>
              </w:rPr>
              <w:t xml:space="preserve"> paredzēts </w:t>
            </w:r>
            <w:r w:rsidR="00510523">
              <w:rPr>
                <w:rFonts w:ascii="Times New Roman" w:eastAsia="Times New Roman" w:hAnsi="Times New Roman" w:cs="Times New Roman"/>
                <w:sz w:val="24"/>
                <w:szCs w:val="24"/>
                <w:lang w:eastAsia="lv-LV"/>
              </w:rPr>
              <w:t xml:space="preserve">noteikt </w:t>
            </w:r>
            <w:r w:rsidR="005558EB" w:rsidRPr="00795D6C">
              <w:rPr>
                <w:rFonts w:ascii="Times New Roman" w:eastAsia="Times New Roman" w:hAnsi="Times New Roman" w:cs="Times New Roman"/>
                <w:sz w:val="24"/>
                <w:szCs w:val="24"/>
              </w:rPr>
              <w:t xml:space="preserve">nodrošinājuma </w:t>
            </w:r>
            <w:r w:rsidRPr="00795D6C">
              <w:rPr>
                <w:rFonts w:ascii="Times New Roman" w:hAnsi="Times New Roman" w:cs="Times New Roman"/>
                <w:sz w:val="24"/>
                <w:szCs w:val="24"/>
                <w:shd w:val="clear" w:color="auto" w:fill="FFFFFF"/>
              </w:rPr>
              <w:t>līdzekļa piemērošanas lēmuma pārsūdzēšanas kārtību</w:t>
            </w:r>
            <w:r>
              <w:rPr>
                <w:rFonts w:ascii="Times New Roman" w:hAnsi="Times New Roman" w:cs="Times New Roman"/>
                <w:sz w:val="24"/>
                <w:szCs w:val="24"/>
                <w:shd w:val="clear" w:color="auto" w:fill="FFFFFF"/>
              </w:rPr>
              <w:t>, papildinot panta nosaukumu ar atsauci uz nodrošinājuma līdzekļiem, kā arī papildināt pantu ar sesto daļu, nosakot, ka j</w:t>
            </w:r>
            <w:r w:rsidR="00B63CE2" w:rsidRPr="00B61B00">
              <w:rPr>
                <w:rFonts w:ascii="Times New Roman" w:eastAsia="Times New Roman" w:hAnsi="Times New Roman" w:cs="Times New Roman"/>
                <w:sz w:val="24"/>
                <w:szCs w:val="24"/>
              </w:rPr>
              <w:t xml:space="preserve">uridiskās personas pārstāvim vai aizstāvim ir tiesības pārsūdzēt procesa virzītāja pieņemto lēmumu par nodrošinājuma līdzekļa piemērošanu juridiskajai personai procesā par </w:t>
            </w:r>
            <w:r w:rsidR="00B63CE2" w:rsidRPr="00B61B00">
              <w:rPr>
                <w:rFonts w:ascii="Times New Roman" w:eastAsia="Calibri" w:hAnsi="Times New Roman" w:cs="Times New Roman"/>
                <w:sz w:val="24"/>
                <w:szCs w:val="24"/>
              </w:rPr>
              <w:t xml:space="preserve">piespiedu ietekmēšanas līdzekļa piemērošanu. </w:t>
            </w:r>
            <w:r w:rsidR="00B63CE2" w:rsidRPr="00B61B00">
              <w:rPr>
                <w:rFonts w:ascii="Times New Roman" w:eastAsia="Times New Roman" w:hAnsi="Times New Roman" w:cs="Times New Roman"/>
                <w:sz w:val="24"/>
                <w:szCs w:val="24"/>
              </w:rPr>
              <w:t xml:space="preserve">Sūdzību izmeklēšanas tiesnesim var </w:t>
            </w:r>
            <w:r w:rsidR="00B63CE2" w:rsidRPr="00B61B00">
              <w:rPr>
                <w:rFonts w:ascii="Times New Roman" w:eastAsia="Times New Roman" w:hAnsi="Times New Roman" w:cs="Times New Roman"/>
                <w:sz w:val="24"/>
                <w:szCs w:val="24"/>
              </w:rPr>
              <w:lastRenderedPageBreak/>
              <w:t>iesniegt septiņu dienu laikā pēc tam, kad saņemta lēmuma par nodrošinājuma līdzekļa piemērošanu kopija. Izmeklēšanas tiesnesis sūdzību izskata šā panta trešās, ceturtās un piektās daļas kārtībā.</w:t>
            </w:r>
            <w:r>
              <w:rPr>
                <w:rFonts w:ascii="Times New Roman" w:eastAsia="Times New Roman" w:hAnsi="Times New Roman" w:cs="Times New Roman"/>
                <w:sz w:val="24"/>
                <w:szCs w:val="24"/>
              </w:rPr>
              <w:t xml:space="preserve"> </w:t>
            </w:r>
            <w:r w:rsidR="002743E4">
              <w:rPr>
                <w:rFonts w:ascii="Times New Roman" w:eastAsia="Times New Roman" w:hAnsi="Times New Roman" w:cs="Times New Roman"/>
                <w:sz w:val="24"/>
                <w:szCs w:val="24"/>
              </w:rPr>
              <w:t>Pārsūdzības tiesības ir juridiskās personas pārstāvim, kurš pārstāvību nodrošina atbilstoši KPL 93. pantam, kā arī aizstāvim, kuru izvēlas juridiskā persona par saviem līdzekļiem atbilstoši KPL 94. panta pirmās daļas 2. punktam vai obligātās aizstāvības gadījumā saskaņā ar KPL 83. panta treš</w:t>
            </w:r>
            <w:r w:rsidR="00BC5AB9">
              <w:rPr>
                <w:rFonts w:ascii="Times New Roman" w:eastAsia="Times New Roman" w:hAnsi="Times New Roman" w:cs="Times New Roman"/>
                <w:sz w:val="24"/>
                <w:szCs w:val="24"/>
              </w:rPr>
              <w:t>o</w:t>
            </w:r>
            <w:r w:rsidR="002743E4">
              <w:rPr>
                <w:rFonts w:ascii="Times New Roman" w:eastAsia="Times New Roman" w:hAnsi="Times New Roman" w:cs="Times New Roman"/>
                <w:sz w:val="24"/>
                <w:szCs w:val="24"/>
              </w:rPr>
              <w:t xml:space="preserve"> daļ</w:t>
            </w:r>
            <w:r w:rsidR="00BC5AB9">
              <w:rPr>
                <w:rFonts w:ascii="Times New Roman" w:eastAsia="Times New Roman" w:hAnsi="Times New Roman" w:cs="Times New Roman"/>
                <w:sz w:val="24"/>
                <w:szCs w:val="24"/>
              </w:rPr>
              <w:t>u</w:t>
            </w:r>
            <w:r w:rsidR="002743E4">
              <w:rPr>
                <w:rFonts w:ascii="Times New Roman" w:eastAsia="Times New Roman" w:hAnsi="Times New Roman" w:cs="Times New Roman"/>
                <w:sz w:val="24"/>
                <w:szCs w:val="24"/>
              </w:rPr>
              <w:t xml:space="preserve">. </w:t>
            </w:r>
          </w:p>
          <w:p w14:paraId="36957E11" w14:textId="2E88C6D8" w:rsidR="00D2684F" w:rsidRPr="00D2684F" w:rsidRDefault="00795D6C" w:rsidP="00D2684F">
            <w:pPr>
              <w:tabs>
                <w:tab w:val="left" w:pos="851"/>
              </w:tabs>
              <w:spacing w:after="0" w:line="240" w:lineRule="auto"/>
              <w:jc w:val="both"/>
              <w:rPr>
                <w:rFonts w:ascii="Times New Roman" w:hAnsi="Times New Roman" w:cs="Times New Roman"/>
                <w:sz w:val="24"/>
                <w:szCs w:val="24"/>
              </w:rPr>
            </w:pPr>
            <w:r w:rsidRPr="00795D6C">
              <w:rPr>
                <w:rFonts w:ascii="Times New Roman" w:eastAsia="Times New Roman" w:hAnsi="Times New Roman" w:cs="Times New Roman"/>
                <w:sz w:val="24"/>
                <w:szCs w:val="24"/>
                <w:lang w:eastAsia="lv-LV"/>
              </w:rPr>
              <w:t xml:space="preserve">Atbilstoši grozījumiem </w:t>
            </w:r>
            <w:r w:rsidRPr="00510523">
              <w:rPr>
                <w:rFonts w:ascii="Times New Roman" w:eastAsia="Times New Roman" w:hAnsi="Times New Roman" w:cs="Times New Roman"/>
                <w:b/>
                <w:bCs/>
                <w:sz w:val="24"/>
                <w:szCs w:val="24"/>
                <w:lang w:eastAsia="lv-LV"/>
              </w:rPr>
              <w:t>KPL 292.</w:t>
            </w:r>
            <w:r w:rsidR="00510523" w:rsidRPr="00510523">
              <w:rPr>
                <w:rFonts w:ascii="Times New Roman" w:eastAsia="Times New Roman" w:hAnsi="Times New Roman" w:cs="Times New Roman"/>
                <w:b/>
                <w:bCs/>
                <w:sz w:val="24"/>
                <w:szCs w:val="24"/>
                <w:lang w:eastAsia="lv-LV"/>
              </w:rPr>
              <w:t> </w:t>
            </w:r>
            <w:r w:rsidRPr="00510523">
              <w:rPr>
                <w:rFonts w:ascii="Times New Roman" w:eastAsia="Times New Roman" w:hAnsi="Times New Roman" w:cs="Times New Roman"/>
                <w:b/>
                <w:bCs/>
                <w:sz w:val="24"/>
                <w:szCs w:val="24"/>
                <w:lang w:eastAsia="lv-LV"/>
              </w:rPr>
              <w:t>pant</w:t>
            </w:r>
            <w:r w:rsidR="00510523">
              <w:rPr>
                <w:rFonts w:ascii="Times New Roman" w:eastAsia="Times New Roman" w:hAnsi="Times New Roman" w:cs="Times New Roman"/>
                <w:b/>
                <w:bCs/>
                <w:sz w:val="24"/>
                <w:szCs w:val="24"/>
                <w:lang w:eastAsia="lv-LV"/>
              </w:rPr>
              <w:t>ā</w:t>
            </w:r>
            <w:r w:rsidRPr="00795D6C">
              <w:rPr>
                <w:rFonts w:ascii="Times New Roman" w:eastAsia="Times New Roman" w:hAnsi="Times New Roman" w:cs="Times New Roman"/>
                <w:sz w:val="24"/>
                <w:szCs w:val="24"/>
                <w:lang w:eastAsia="lv-LV"/>
              </w:rPr>
              <w:t xml:space="preserve"> paredzēts paplašināt personu loku, kam var piemērot piespiedu naudu. Atbilstoši š</w:t>
            </w:r>
            <w:r w:rsidR="00F8671A">
              <w:rPr>
                <w:rFonts w:ascii="Times New Roman" w:eastAsia="Times New Roman" w:hAnsi="Times New Roman" w:cs="Times New Roman"/>
                <w:sz w:val="24"/>
                <w:szCs w:val="24"/>
                <w:lang w:eastAsia="lv-LV"/>
              </w:rPr>
              <w:t>i</w:t>
            </w:r>
            <w:r w:rsidRPr="00795D6C">
              <w:rPr>
                <w:rFonts w:ascii="Times New Roman" w:eastAsia="Times New Roman" w:hAnsi="Times New Roman" w:cs="Times New Roman"/>
                <w:sz w:val="24"/>
                <w:szCs w:val="24"/>
                <w:lang w:eastAsia="lv-LV"/>
              </w:rPr>
              <w:t>m pantam</w:t>
            </w:r>
            <w:r w:rsidR="00F8671A">
              <w:rPr>
                <w:rFonts w:ascii="Times New Roman" w:eastAsia="Times New Roman" w:hAnsi="Times New Roman" w:cs="Times New Roman"/>
                <w:sz w:val="24"/>
                <w:szCs w:val="24"/>
                <w:lang w:eastAsia="lv-LV"/>
              </w:rPr>
              <w:t>,</w:t>
            </w:r>
            <w:r w:rsidRPr="00795D6C">
              <w:rPr>
                <w:rFonts w:ascii="Times New Roman" w:eastAsia="Times New Roman" w:hAnsi="Times New Roman" w:cs="Times New Roman"/>
                <w:sz w:val="24"/>
                <w:szCs w:val="24"/>
                <w:lang w:eastAsia="lv-LV"/>
              </w:rPr>
              <w:t xml:space="preserve"> piespiedu naudu var piemērot p</w:t>
            </w:r>
            <w:r w:rsidRPr="00795D6C">
              <w:rPr>
                <w:rFonts w:ascii="Times New Roman" w:hAnsi="Times New Roman" w:cs="Times New Roman"/>
                <w:sz w:val="24"/>
                <w:szCs w:val="24"/>
                <w:shd w:val="clear" w:color="auto" w:fill="FFFFFF"/>
              </w:rPr>
              <w:t xml:space="preserve">ersonai, kura traucē kriminālprocesā noteikto kārtību vai ignorē procesa virzītāja prasības. Ņemot vērā, ka </w:t>
            </w:r>
            <w:r w:rsidR="002B3EF4">
              <w:rPr>
                <w:rFonts w:ascii="Times New Roman" w:hAnsi="Times New Roman" w:cs="Times New Roman"/>
                <w:sz w:val="24"/>
                <w:szCs w:val="24"/>
                <w:shd w:val="clear" w:color="auto" w:fill="FFFFFF"/>
              </w:rPr>
              <w:t xml:space="preserve">šobrīd </w:t>
            </w:r>
            <w:r w:rsidRPr="00795D6C">
              <w:rPr>
                <w:rFonts w:ascii="Times New Roman" w:hAnsi="Times New Roman" w:cs="Times New Roman"/>
                <w:sz w:val="24"/>
                <w:szCs w:val="24"/>
                <w:shd w:val="clear" w:color="auto" w:fill="FFFFFF"/>
              </w:rPr>
              <w:t>piespiedu nauda tiek piemērota</w:t>
            </w:r>
            <w:r w:rsidR="002B3EF4">
              <w:rPr>
                <w:rFonts w:ascii="Times New Roman" w:hAnsi="Times New Roman" w:cs="Times New Roman"/>
                <w:sz w:val="24"/>
                <w:szCs w:val="24"/>
                <w:shd w:val="clear" w:color="auto" w:fill="FFFFFF"/>
              </w:rPr>
              <w:t xml:space="preserve"> </w:t>
            </w:r>
            <w:r w:rsidRPr="00795D6C">
              <w:rPr>
                <w:rFonts w:ascii="Times New Roman" w:hAnsi="Times New Roman" w:cs="Times New Roman"/>
                <w:sz w:val="24"/>
                <w:szCs w:val="24"/>
                <w:shd w:val="clear" w:color="auto" w:fill="FFFFFF"/>
              </w:rPr>
              <w:t xml:space="preserve">fiziskām personām </w:t>
            </w:r>
            <w:r w:rsidR="002B3EF4">
              <w:rPr>
                <w:rFonts w:ascii="Times New Roman" w:hAnsi="Times New Roman" w:cs="Times New Roman"/>
                <w:sz w:val="24"/>
                <w:szCs w:val="24"/>
                <w:shd w:val="clear" w:color="auto" w:fill="FFFFFF"/>
              </w:rPr>
              <w:t xml:space="preserve">par </w:t>
            </w:r>
            <w:r w:rsidR="002B3EF4" w:rsidRPr="00795D6C">
              <w:rPr>
                <w:rFonts w:ascii="Times New Roman" w:hAnsi="Times New Roman" w:cs="Times New Roman"/>
                <w:sz w:val="24"/>
                <w:szCs w:val="24"/>
                <w:shd w:val="clear" w:color="auto" w:fill="FFFFFF"/>
              </w:rPr>
              <w:t>kriminālproces</w:t>
            </w:r>
            <w:r w:rsidR="002B3EF4">
              <w:rPr>
                <w:rFonts w:ascii="Times New Roman" w:hAnsi="Times New Roman" w:cs="Times New Roman"/>
                <w:sz w:val="24"/>
                <w:szCs w:val="24"/>
                <w:shd w:val="clear" w:color="auto" w:fill="FFFFFF"/>
              </w:rPr>
              <w:t>ā</w:t>
            </w:r>
            <w:r w:rsidR="002B3EF4" w:rsidRPr="00795D6C">
              <w:rPr>
                <w:rFonts w:ascii="Times New Roman" w:hAnsi="Times New Roman" w:cs="Times New Roman"/>
                <w:sz w:val="24"/>
                <w:szCs w:val="24"/>
                <w:shd w:val="clear" w:color="auto" w:fill="FFFFFF"/>
              </w:rPr>
              <w:t xml:space="preserve"> noteikt</w:t>
            </w:r>
            <w:r w:rsidR="002B3EF4">
              <w:rPr>
                <w:rFonts w:ascii="Times New Roman" w:hAnsi="Times New Roman" w:cs="Times New Roman"/>
                <w:sz w:val="24"/>
                <w:szCs w:val="24"/>
                <w:shd w:val="clear" w:color="auto" w:fill="FFFFFF"/>
              </w:rPr>
              <w:t>ās</w:t>
            </w:r>
            <w:r w:rsidR="002B3EF4" w:rsidRPr="00795D6C">
              <w:rPr>
                <w:rFonts w:ascii="Times New Roman" w:hAnsi="Times New Roman" w:cs="Times New Roman"/>
                <w:sz w:val="24"/>
                <w:szCs w:val="24"/>
                <w:shd w:val="clear" w:color="auto" w:fill="FFFFFF"/>
              </w:rPr>
              <w:t xml:space="preserve"> kārtīb</w:t>
            </w:r>
            <w:r w:rsidR="002B3EF4">
              <w:rPr>
                <w:rFonts w:ascii="Times New Roman" w:hAnsi="Times New Roman" w:cs="Times New Roman"/>
                <w:sz w:val="24"/>
                <w:szCs w:val="24"/>
                <w:shd w:val="clear" w:color="auto" w:fill="FFFFFF"/>
              </w:rPr>
              <w:t>as traucēšanu</w:t>
            </w:r>
            <w:r w:rsidR="002B3EF4" w:rsidRPr="00795D6C">
              <w:rPr>
                <w:rFonts w:ascii="Times New Roman" w:hAnsi="Times New Roman" w:cs="Times New Roman"/>
                <w:sz w:val="24"/>
                <w:szCs w:val="24"/>
                <w:shd w:val="clear" w:color="auto" w:fill="FFFFFF"/>
              </w:rPr>
              <w:t xml:space="preserve"> vai procesa virzītāja prasīb</w:t>
            </w:r>
            <w:r w:rsidR="002B3EF4">
              <w:rPr>
                <w:rFonts w:ascii="Times New Roman" w:hAnsi="Times New Roman" w:cs="Times New Roman"/>
                <w:sz w:val="24"/>
                <w:szCs w:val="24"/>
                <w:shd w:val="clear" w:color="auto" w:fill="FFFFFF"/>
              </w:rPr>
              <w:t>u ignorēšanu</w:t>
            </w:r>
            <w:r w:rsidRPr="00795D6C">
              <w:rPr>
                <w:rFonts w:ascii="Times New Roman" w:hAnsi="Times New Roman" w:cs="Times New Roman"/>
                <w:sz w:val="24"/>
                <w:szCs w:val="24"/>
                <w:shd w:val="clear" w:color="auto" w:fill="FFFFFF"/>
              </w:rPr>
              <w:t>, ir nepieciešams papildināt KPL 292.</w:t>
            </w:r>
            <w:r w:rsidR="00227B29">
              <w:rPr>
                <w:rFonts w:ascii="Times New Roman" w:hAnsi="Times New Roman" w:cs="Times New Roman"/>
                <w:sz w:val="24"/>
                <w:szCs w:val="24"/>
                <w:shd w:val="clear" w:color="auto" w:fill="FFFFFF"/>
              </w:rPr>
              <w:t> </w:t>
            </w:r>
            <w:r w:rsidRPr="00795D6C">
              <w:rPr>
                <w:rFonts w:ascii="Times New Roman" w:hAnsi="Times New Roman" w:cs="Times New Roman"/>
                <w:sz w:val="24"/>
                <w:szCs w:val="24"/>
                <w:shd w:val="clear" w:color="auto" w:fill="FFFFFF"/>
              </w:rPr>
              <w:t xml:space="preserve">pantu ar jaunu otro daļu, nosakot, ka </w:t>
            </w:r>
            <w:r w:rsidRPr="00795D6C">
              <w:rPr>
                <w:rFonts w:ascii="Times New Roman" w:hAnsi="Times New Roman" w:cs="Times New Roman"/>
                <w:sz w:val="24"/>
                <w:szCs w:val="24"/>
              </w:rPr>
              <w:t>j</w:t>
            </w:r>
            <w:r w:rsidR="00B63CE2" w:rsidRPr="00795D6C">
              <w:rPr>
                <w:rFonts w:ascii="Times New Roman" w:hAnsi="Times New Roman" w:cs="Times New Roman"/>
                <w:sz w:val="24"/>
                <w:szCs w:val="24"/>
              </w:rPr>
              <w:t>uridiskajai personai, kura traucē kriminālprocesā noteikto kārtību vai nepilda piemēroto nodrošinājuma līdzekli var uzlikt piespiedu naudu līdz tūkstoš Latvijas Republikā noteikto minimālo mēnešalgu apmēram.</w:t>
            </w:r>
            <w:r w:rsidRPr="00795D6C">
              <w:rPr>
                <w:rFonts w:ascii="Times New Roman" w:hAnsi="Times New Roman" w:cs="Times New Roman"/>
                <w:sz w:val="24"/>
                <w:szCs w:val="24"/>
              </w:rPr>
              <w:t xml:space="preserve"> </w:t>
            </w:r>
            <w:r w:rsidR="00F8671A">
              <w:rPr>
                <w:rFonts w:ascii="Times New Roman" w:hAnsi="Times New Roman" w:cs="Times New Roman"/>
                <w:sz w:val="24"/>
                <w:szCs w:val="24"/>
              </w:rPr>
              <w:t>Ievērojot</w:t>
            </w:r>
            <w:r>
              <w:rPr>
                <w:rFonts w:ascii="Times New Roman" w:hAnsi="Times New Roman" w:cs="Times New Roman"/>
                <w:sz w:val="24"/>
                <w:szCs w:val="24"/>
              </w:rPr>
              <w:t xml:space="preserve">, ka ne visiem nodrošinājuma līdzekļiem juridiskajai personai ir iespējams </w:t>
            </w:r>
            <w:r w:rsidR="00D2684F">
              <w:rPr>
                <w:rFonts w:ascii="Times New Roman" w:hAnsi="Times New Roman" w:cs="Times New Roman"/>
                <w:sz w:val="24"/>
                <w:szCs w:val="24"/>
              </w:rPr>
              <w:t>nodrošināt piespiedu izpilde</w:t>
            </w:r>
            <w:r w:rsidR="00F8671A">
              <w:rPr>
                <w:rFonts w:ascii="Times New Roman" w:hAnsi="Times New Roman" w:cs="Times New Roman"/>
                <w:sz w:val="24"/>
                <w:szCs w:val="24"/>
              </w:rPr>
              <w:t>s</w:t>
            </w:r>
            <w:r w:rsidR="00D2684F">
              <w:rPr>
                <w:rFonts w:ascii="Times New Roman" w:hAnsi="Times New Roman" w:cs="Times New Roman"/>
                <w:sz w:val="24"/>
                <w:szCs w:val="24"/>
              </w:rPr>
              <w:t xml:space="preserve"> mehānismu, tika rasts risinājums, nosakot, ka, gadījumā, ja juridiskā persona </w:t>
            </w:r>
            <w:r w:rsidR="00D2684F" w:rsidRPr="00795D6C">
              <w:rPr>
                <w:rFonts w:ascii="Times New Roman" w:hAnsi="Times New Roman" w:cs="Times New Roman"/>
                <w:sz w:val="24"/>
                <w:szCs w:val="24"/>
              </w:rPr>
              <w:t>traucē kriminālprocesā noteikto kārtību vai nepilda piemēroto nodrošinājuma līdzekli</w:t>
            </w:r>
            <w:r w:rsidR="007B0D32">
              <w:rPr>
                <w:rFonts w:ascii="Times New Roman" w:hAnsi="Times New Roman" w:cs="Times New Roman"/>
                <w:sz w:val="24"/>
                <w:szCs w:val="24"/>
              </w:rPr>
              <w:t>,</w:t>
            </w:r>
            <w:r w:rsidR="00D2684F">
              <w:rPr>
                <w:rFonts w:ascii="Times New Roman" w:hAnsi="Times New Roman" w:cs="Times New Roman"/>
                <w:sz w:val="24"/>
                <w:szCs w:val="24"/>
              </w:rPr>
              <w:t xml:space="preserve"> tai var uzlikt piespiedu naudu. Proti, attiecībā uz nodrošinājuma līdzekļiem - </w:t>
            </w:r>
            <w:r w:rsidR="00D2684F" w:rsidRPr="00B61B00">
              <w:rPr>
                <w:rFonts w:ascii="Times New Roman" w:eastAsia="Times New Roman" w:hAnsi="Times New Roman" w:cs="Times New Roman"/>
                <w:sz w:val="24"/>
                <w:szCs w:val="24"/>
                <w:lang w:eastAsia="lv-LV"/>
              </w:rPr>
              <w:t>noteiktu darbību aizliegum</w:t>
            </w:r>
            <w:r w:rsidR="00D2684F">
              <w:rPr>
                <w:rFonts w:ascii="Times New Roman" w:eastAsia="Times New Roman" w:hAnsi="Times New Roman" w:cs="Times New Roman"/>
                <w:sz w:val="24"/>
                <w:szCs w:val="24"/>
                <w:lang w:eastAsia="lv-LV"/>
              </w:rPr>
              <w:t xml:space="preserve">u un </w:t>
            </w:r>
            <w:r w:rsidR="00D2684F" w:rsidRPr="00B61B00">
              <w:rPr>
                <w:rFonts w:ascii="Times New Roman" w:eastAsia="Times New Roman" w:hAnsi="Times New Roman" w:cs="Times New Roman"/>
                <w:sz w:val="24"/>
                <w:szCs w:val="24"/>
                <w:lang w:eastAsia="lv-LV"/>
              </w:rPr>
              <w:t>aizliegum</w:t>
            </w:r>
            <w:r w:rsidR="00D2684F">
              <w:rPr>
                <w:rFonts w:ascii="Times New Roman" w:eastAsia="Times New Roman" w:hAnsi="Times New Roman" w:cs="Times New Roman"/>
                <w:sz w:val="24"/>
                <w:szCs w:val="24"/>
                <w:lang w:eastAsia="lv-LV"/>
              </w:rPr>
              <w:t>u</w:t>
            </w:r>
            <w:r w:rsidR="00D2684F" w:rsidRPr="00B61B00">
              <w:rPr>
                <w:rFonts w:ascii="Times New Roman" w:eastAsia="Times New Roman" w:hAnsi="Times New Roman" w:cs="Times New Roman"/>
                <w:sz w:val="24"/>
                <w:szCs w:val="24"/>
                <w:lang w:eastAsia="lv-LV"/>
              </w:rPr>
              <w:t xml:space="preserve"> veikt uzņēmumu pāreju</w:t>
            </w:r>
            <w:r w:rsidR="00D2684F">
              <w:rPr>
                <w:rFonts w:ascii="Times New Roman" w:eastAsia="Times New Roman" w:hAnsi="Times New Roman" w:cs="Times New Roman"/>
                <w:sz w:val="24"/>
                <w:szCs w:val="24"/>
                <w:lang w:eastAsia="lv-LV"/>
              </w:rPr>
              <w:t xml:space="preserve"> – kā piespiedu izpildes mehānismu plānots noteikt procesa virzītāja tiesības piemērot piespiedu naudu līdz </w:t>
            </w:r>
            <w:r w:rsidR="00D2684F" w:rsidRPr="00795D6C">
              <w:rPr>
                <w:rFonts w:ascii="Times New Roman" w:hAnsi="Times New Roman" w:cs="Times New Roman"/>
                <w:sz w:val="24"/>
                <w:szCs w:val="24"/>
              </w:rPr>
              <w:t>tūkstoš Latvijas Republikā noteikto minimālo mēnešalgu apmēram</w:t>
            </w:r>
            <w:r w:rsidR="00D2684F">
              <w:rPr>
                <w:rFonts w:ascii="Times New Roman" w:hAnsi="Times New Roman" w:cs="Times New Roman"/>
                <w:sz w:val="24"/>
                <w:szCs w:val="24"/>
              </w:rPr>
              <w:t>. Minētais apmērs ir noteikts, ņemot vērā, ka juridiskās personas apgrozījums un ienākumi var būt ļoti dažādi, ņemot vērā uzņēmējdarbības specifiku un citus faktorus, līdz ar to, lai piespiedu naudas apmērs darbotos</w:t>
            </w:r>
            <w:r w:rsidR="00F8671A">
              <w:rPr>
                <w:rFonts w:ascii="Times New Roman" w:hAnsi="Times New Roman" w:cs="Times New Roman"/>
                <w:sz w:val="24"/>
                <w:szCs w:val="24"/>
              </w:rPr>
              <w:t xml:space="preserve"> arī</w:t>
            </w:r>
            <w:r w:rsidR="00D2684F">
              <w:rPr>
                <w:rFonts w:ascii="Times New Roman" w:hAnsi="Times New Roman" w:cs="Times New Roman"/>
                <w:sz w:val="24"/>
                <w:szCs w:val="24"/>
              </w:rPr>
              <w:t xml:space="preserve"> kā preventīvs līdzeklis, ir nepieciešams noteikt tādu apmēru, kas var ietekmēt jebkuru juridisko personu</w:t>
            </w:r>
            <w:r w:rsidR="007B0D32">
              <w:rPr>
                <w:rFonts w:ascii="Times New Roman" w:hAnsi="Times New Roman" w:cs="Times New Roman"/>
                <w:sz w:val="24"/>
                <w:szCs w:val="24"/>
              </w:rPr>
              <w:t>,</w:t>
            </w:r>
            <w:r w:rsidR="00D2684F">
              <w:rPr>
                <w:rFonts w:ascii="Times New Roman" w:hAnsi="Times New Roman" w:cs="Times New Roman"/>
                <w:sz w:val="24"/>
                <w:szCs w:val="24"/>
              </w:rPr>
              <w:t xml:space="preserve"> pret kuru uzsākts process par piespiedu ietekmēšanas līdzekļu piemērošanu. Norādāms, ka minētais apmērs ir maksimāli pieļaujamais un </w:t>
            </w:r>
            <w:r w:rsidR="006451F5">
              <w:rPr>
                <w:rFonts w:ascii="Times New Roman" w:hAnsi="Times New Roman" w:cs="Times New Roman"/>
                <w:sz w:val="24"/>
                <w:szCs w:val="24"/>
              </w:rPr>
              <w:t>izmeklēšanas tiesnesim vai tiesai</w:t>
            </w:r>
            <w:r w:rsidR="00D2684F">
              <w:rPr>
                <w:rFonts w:ascii="Times New Roman" w:hAnsi="Times New Roman" w:cs="Times New Roman"/>
                <w:sz w:val="24"/>
                <w:szCs w:val="24"/>
              </w:rPr>
              <w:t xml:space="preserve"> ir pienākums</w:t>
            </w:r>
            <w:r w:rsidR="00F8671A">
              <w:rPr>
                <w:rFonts w:ascii="Times New Roman" w:hAnsi="Times New Roman" w:cs="Times New Roman"/>
                <w:sz w:val="24"/>
                <w:szCs w:val="24"/>
              </w:rPr>
              <w:t xml:space="preserve"> </w:t>
            </w:r>
            <w:r w:rsidR="00D2684F">
              <w:rPr>
                <w:rFonts w:ascii="Times New Roman" w:hAnsi="Times New Roman" w:cs="Times New Roman"/>
                <w:sz w:val="24"/>
                <w:szCs w:val="24"/>
              </w:rPr>
              <w:t>piespiedu naud</w:t>
            </w:r>
            <w:r w:rsidR="00F8671A">
              <w:rPr>
                <w:rFonts w:ascii="Times New Roman" w:hAnsi="Times New Roman" w:cs="Times New Roman"/>
                <w:sz w:val="24"/>
                <w:szCs w:val="24"/>
              </w:rPr>
              <w:t>as apmēru</w:t>
            </w:r>
            <w:r w:rsidR="00D2684F">
              <w:rPr>
                <w:rFonts w:ascii="Times New Roman" w:hAnsi="Times New Roman" w:cs="Times New Roman"/>
                <w:sz w:val="24"/>
                <w:szCs w:val="24"/>
              </w:rPr>
              <w:t xml:space="preserve"> izvērtēt katr</w:t>
            </w:r>
            <w:r w:rsidR="00F8671A">
              <w:rPr>
                <w:rFonts w:ascii="Times New Roman" w:hAnsi="Times New Roman" w:cs="Times New Roman"/>
                <w:sz w:val="24"/>
                <w:szCs w:val="24"/>
              </w:rPr>
              <w:t>ā</w:t>
            </w:r>
            <w:r w:rsidR="00D2684F">
              <w:rPr>
                <w:rFonts w:ascii="Times New Roman" w:hAnsi="Times New Roman" w:cs="Times New Roman"/>
                <w:sz w:val="24"/>
                <w:szCs w:val="24"/>
              </w:rPr>
              <w:t xml:space="preserve"> gadījum</w:t>
            </w:r>
            <w:r w:rsidR="00F8671A">
              <w:rPr>
                <w:rFonts w:ascii="Times New Roman" w:hAnsi="Times New Roman" w:cs="Times New Roman"/>
                <w:sz w:val="24"/>
                <w:szCs w:val="24"/>
              </w:rPr>
              <w:t xml:space="preserve">ā </w:t>
            </w:r>
            <w:r w:rsidR="00D2684F">
              <w:rPr>
                <w:rFonts w:ascii="Times New Roman" w:hAnsi="Times New Roman" w:cs="Times New Roman"/>
                <w:sz w:val="24"/>
                <w:szCs w:val="24"/>
              </w:rPr>
              <w:t>atsevišķi, ievērojot gan juridiskās personas pastāvēšanas interesi, gan samērīgumu. Norādāms, ka šāda regulējuma mērķis nav personām piemērot piespiedu naudu, bet t</w:t>
            </w:r>
            <w:r w:rsidR="00227B29">
              <w:rPr>
                <w:rFonts w:ascii="Times New Roman" w:hAnsi="Times New Roman" w:cs="Times New Roman"/>
                <w:sz w:val="24"/>
                <w:szCs w:val="24"/>
              </w:rPr>
              <w:t>as</w:t>
            </w:r>
            <w:r w:rsidR="00D2684F">
              <w:rPr>
                <w:rFonts w:ascii="Times New Roman" w:hAnsi="Times New Roman" w:cs="Times New Roman"/>
                <w:sz w:val="24"/>
                <w:szCs w:val="24"/>
              </w:rPr>
              <w:t xml:space="preserve"> </w:t>
            </w:r>
            <w:r w:rsidR="00F8671A">
              <w:rPr>
                <w:rFonts w:ascii="Times New Roman" w:hAnsi="Times New Roman" w:cs="Times New Roman"/>
                <w:sz w:val="24"/>
                <w:szCs w:val="24"/>
              </w:rPr>
              <w:t xml:space="preserve">galvenokārt </w:t>
            </w:r>
            <w:r w:rsidR="00D2684F">
              <w:rPr>
                <w:rFonts w:ascii="Times New Roman" w:hAnsi="Times New Roman" w:cs="Times New Roman"/>
                <w:sz w:val="24"/>
                <w:szCs w:val="24"/>
              </w:rPr>
              <w:t xml:space="preserve">veic preventīvu funkciju, lai atturētu juridisko personu </w:t>
            </w:r>
            <w:r w:rsidR="00D2684F" w:rsidRPr="00D2684F">
              <w:rPr>
                <w:rFonts w:ascii="Times New Roman" w:hAnsi="Times New Roman" w:cs="Times New Roman"/>
                <w:sz w:val="24"/>
                <w:szCs w:val="24"/>
              </w:rPr>
              <w:t xml:space="preserve">no iespējamiem pārkāpumiem. </w:t>
            </w:r>
          </w:p>
          <w:p w14:paraId="6CFB5FB9" w14:textId="5192B5BF" w:rsidR="00D2684F" w:rsidRPr="006451F5" w:rsidRDefault="00D2684F" w:rsidP="00D2684F">
            <w:pPr>
              <w:tabs>
                <w:tab w:val="left" w:pos="851"/>
              </w:tabs>
              <w:spacing w:after="0" w:line="240" w:lineRule="auto"/>
              <w:jc w:val="both"/>
              <w:rPr>
                <w:rFonts w:ascii="Times New Roman" w:eastAsia="Times New Roman" w:hAnsi="Times New Roman" w:cs="Times New Roman"/>
                <w:sz w:val="24"/>
                <w:szCs w:val="24"/>
                <w:lang w:eastAsia="lv-LV"/>
              </w:rPr>
            </w:pPr>
            <w:r w:rsidRPr="00D2684F">
              <w:rPr>
                <w:rFonts w:ascii="Times New Roman" w:hAnsi="Times New Roman" w:cs="Times New Roman"/>
                <w:sz w:val="24"/>
                <w:szCs w:val="24"/>
              </w:rPr>
              <w:t xml:space="preserve">Ar grozījumiem </w:t>
            </w:r>
            <w:r w:rsidRPr="006451F5">
              <w:rPr>
                <w:rFonts w:ascii="Times New Roman" w:hAnsi="Times New Roman" w:cs="Times New Roman"/>
                <w:b/>
                <w:bCs/>
                <w:sz w:val="24"/>
                <w:szCs w:val="24"/>
              </w:rPr>
              <w:t>KPL 293.</w:t>
            </w:r>
            <w:r w:rsidR="006451F5" w:rsidRPr="006451F5">
              <w:rPr>
                <w:rFonts w:ascii="Times New Roman" w:hAnsi="Times New Roman" w:cs="Times New Roman"/>
                <w:b/>
                <w:bCs/>
                <w:sz w:val="24"/>
                <w:szCs w:val="24"/>
              </w:rPr>
              <w:t> </w:t>
            </w:r>
            <w:r w:rsidRPr="006451F5">
              <w:rPr>
                <w:rFonts w:ascii="Times New Roman" w:hAnsi="Times New Roman" w:cs="Times New Roman"/>
                <w:b/>
                <w:bCs/>
                <w:sz w:val="24"/>
                <w:szCs w:val="24"/>
              </w:rPr>
              <w:t>pantā</w:t>
            </w:r>
            <w:r w:rsidRPr="00D2684F">
              <w:rPr>
                <w:rFonts w:ascii="Times New Roman" w:hAnsi="Times New Roman" w:cs="Times New Roman"/>
                <w:sz w:val="24"/>
                <w:szCs w:val="24"/>
              </w:rPr>
              <w:t xml:space="preserve"> paredzēts noteikt, ka</w:t>
            </w:r>
            <w:r w:rsidR="007B0D32">
              <w:rPr>
                <w:rFonts w:ascii="Times New Roman" w:hAnsi="Times New Roman" w:cs="Times New Roman"/>
                <w:sz w:val="24"/>
                <w:szCs w:val="24"/>
              </w:rPr>
              <w:t>,</w:t>
            </w:r>
            <w:r w:rsidRPr="00D2684F">
              <w:rPr>
                <w:rFonts w:ascii="Times New Roman" w:hAnsi="Times New Roman" w:cs="Times New Roman"/>
                <w:sz w:val="24"/>
                <w:szCs w:val="24"/>
              </w:rPr>
              <w:t xml:space="preserve"> </w:t>
            </w:r>
            <w:r w:rsidRPr="006451F5">
              <w:rPr>
                <w:rFonts w:ascii="Times New Roman" w:hAnsi="Times New Roman" w:cs="Times New Roman"/>
                <w:sz w:val="24"/>
                <w:szCs w:val="24"/>
              </w:rPr>
              <w:t>piemērojot piespiedu naudu arī par nodrošinājuma līdzekļa neievērošanu</w:t>
            </w:r>
            <w:r w:rsidR="007B0D32">
              <w:rPr>
                <w:rFonts w:ascii="Times New Roman" w:hAnsi="Times New Roman" w:cs="Times New Roman"/>
                <w:sz w:val="24"/>
                <w:szCs w:val="24"/>
              </w:rPr>
              <w:t>,</w:t>
            </w:r>
            <w:r w:rsidRPr="006451F5">
              <w:rPr>
                <w:rFonts w:ascii="Times New Roman" w:hAnsi="Times New Roman" w:cs="Times New Roman"/>
                <w:sz w:val="24"/>
                <w:szCs w:val="24"/>
              </w:rPr>
              <w:t xml:space="preserve"> tiek paredzēta tāda pati kārtība kā līdz šim. </w:t>
            </w:r>
            <w:r w:rsidR="006451F5" w:rsidRPr="006451F5">
              <w:rPr>
                <w:rFonts w:ascii="Times New Roman" w:hAnsi="Times New Roman" w:cs="Times New Roman"/>
                <w:sz w:val="24"/>
                <w:szCs w:val="24"/>
              </w:rPr>
              <w:t xml:space="preserve">Proti, </w:t>
            </w:r>
            <w:proofErr w:type="spellStart"/>
            <w:r w:rsidR="006451F5" w:rsidRPr="006451F5">
              <w:rPr>
                <w:rFonts w:ascii="Times New Roman" w:hAnsi="Times New Roman" w:cs="Times New Roman"/>
                <w:sz w:val="24"/>
                <w:szCs w:val="24"/>
              </w:rPr>
              <w:t>pirmstiesas</w:t>
            </w:r>
            <w:proofErr w:type="spellEnd"/>
            <w:r w:rsidR="006451F5" w:rsidRPr="006451F5">
              <w:rPr>
                <w:rFonts w:ascii="Times New Roman" w:hAnsi="Times New Roman" w:cs="Times New Roman"/>
                <w:sz w:val="24"/>
                <w:szCs w:val="24"/>
              </w:rPr>
              <w:t xml:space="preserve"> kriminālprocesa l</w:t>
            </w:r>
            <w:r w:rsidR="006451F5" w:rsidRPr="006451F5">
              <w:rPr>
                <w:rFonts w:ascii="Times New Roman" w:hAnsi="Times New Roman" w:cs="Times New Roman"/>
                <w:sz w:val="24"/>
                <w:szCs w:val="24"/>
                <w:shd w:val="clear" w:color="auto" w:fill="FFFFFF"/>
              </w:rPr>
              <w:t xml:space="preserve">ēmumu par piespiedu </w:t>
            </w:r>
            <w:r w:rsidR="006451F5" w:rsidRPr="006451F5">
              <w:rPr>
                <w:rFonts w:ascii="Times New Roman" w:hAnsi="Times New Roman" w:cs="Times New Roman"/>
                <w:sz w:val="24"/>
                <w:szCs w:val="24"/>
                <w:shd w:val="clear" w:color="auto" w:fill="FFFFFF"/>
              </w:rPr>
              <w:lastRenderedPageBreak/>
              <w:t>naudas piemērošanu</w:t>
            </w:r>
            <w:r w:rsidR="006451F5" w:rsidRPr="006451F5">
              <w:rPr>
                <w:rFonts w:ascii="Times New Roman" w:hAnsi="Times New Roman" w:cs="Times New Roman"/>
                <w:sz w:val="24"/>
                <w:szCs w:val="24"/>
              </w:rPr>
              <w:t xml:space="preserve"> pieņem izmeklēšanas tiesnesis, savukārt iztiesāšanā – tiesa. </w:t>
            </w:r>
          </w:p>
          <w:p w14:paraId="60033A9C" w14:textId="2C4CD01A" w:rsidR="002743E4" w:rsidRPr="002743E4" w:rsidRDefault="006451F5" w:rsidP="006451F5">
            <w:pPr>
              <w:tabs>
                <w:tab w:val="left" w:pos="851"/>
              </w:tabs>
              <w:spacing w:after="0" w:line="240" w:lineRule="auto"/>
              <w:jc w:val="both"/>
              <w:rPr>
                <w:rFonts w:ascii="Times New Roman" w:eastAsia="Times New Roman" w:hAnsi="Times New Roman" w:cs="Times New Roman"/>
                <w:sz w:val="24"/>
                <w:szCs w:val="24"/>
              </w:rPr>
            </w:pPr>
            <w:bookmarkStart w:id="1" w:name="_Hlk64362888"/>
            <w:r w:rsidRPr="006451F5">
              <w:rPr>
                <w:rFonts w:ascii="Times New Roman" w:hAnsi="Times New Roman" w:cs="Times New Roman"/>
                <w:sz w:val="24"/>
                <w:szCs w:val="24"/>
                <w:shd w:val="clear" w:color="auto" w:fill="FFFFFF"/>
              </w:rPr>
              <w:t>Atbilstoši grozījumiem</w:t>
            </w:r>
            <w:r>
              <w:rPr>
                <w:rFonts w:ascii="Times New Roman" w:hAnsi="Times New Roman" w:cs="Times New Roman"/>
                <w:b/>
                <w:bCs/>
                <w:sz w:val="24"/>
                <w:szCs w:val="24"/>
                <w:shd w:val="clear" w:color="auto" w:fill="FFFFFF"/>
              </w:rPr>
              <w:t xml:space="preserve"> KPL </w:t>
            </w:r>
            <w:r w:rsidR="00B63CE2" w:rsidRPr="006451F5">
              <w:rPr>
                <w:rFonts w:ascii="Times New Roman" w:eastAsia="Times New Roman" w:hAnsi="Times New Roman" w:cs="Times New Roman"/>
                <w:b/>
                <w:bCs/>
                <w:sz w:val="24"/>
                <w:szCs w:val="24"/>
              </w:rPr>
              <w:t>389. pantā</w:t>
            </w:r>
            <w:r>
              <w:rPr>
                <w:rFonts w:ascii="Times New Roman" w:eastAsia="Times New Roman" w:hAnsi="Times New Roman" w:cs="Times New Roman"/>
                <w:sz w:val="24"/>
                <w:szCs w:val="24"/>
              </w:rPr>
              <w:t xml:space="preserve"> paredzēts noteikt nodrošinājuma līdzekļu piemērošanas termiņus. Ar jauno </w:t>
            </w:r>
            <w:r w:rsidR="00B63CE2" w:rsidRPr="00B61B0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B63CE2" w:rsidRPr="00B61B00">
              <w:rPr>
                <w:rFonts w:ascii="Times New Roman" w:eastAsia="Times New Roman" w:hAnsi="Times New Roman" w:cs="Times New Roman"/>
                <w:sz w:val="24"/>
                <w:szCs w:val="24"/>
                <w:vertAlign w:val="superscript"/>
              </w:rPr>
              <w:t>2</w:t>
            </w:r>
            <w:r w:rsidR="00152512">
              <w:rPr>
                <w:rFonts w:ascii="Times New Roman" w:eastAsia="Times New Roman" w:hAnsi="Times New Roman" w:cs="Times New Roman"/>
                <w:sz w:val="24"/>
                <w:szCs w:val="24"/>
                <w:vertAlign w:val="superscript"/>
              </w:rPr>
              <w:t> </w:t>
            </w:r>
            <w:r w:rsidR="00B63CE2" w:rsidRPr="00B61B00">
              <w:rPr>
                <w:rFonts w:ascii="Times New Roman" w:eastAsia="Times New Roman" w:hAnsi="Times New Roman" w:cs="Times New Roman"/>
                <w:sz w:val="24"/>
                <w:szCs w:val="24"/>
              </w:rPr>
              <w:t xml:space="preserve">daļu </w:t>
            </w:r>
            <w:r>
              <w:rPr>
                <w:rFonts w:ascii="Times New Roman" w:eastAsia="Times New Roman" w:hAnsi="Times New Roman" w:cs="Times New Roman"/>
                <w:sz w:val="24"/>
                <w:szCs w:val="24"/>
              </w:rPr>
              <w:t xml:space="preserve">paredzēts noteikt, ka kopš </w:t>
            </w:r>
            <w:r w:rsidR="00B63CE2" w:rsidRPr="00B61B00">
              <w:rPr>
                <w:rFonts w:ascii="Times New Roman" w:hAnsi="Times New Roman" w:cs="Times New Roman"/>
                <w:sz w:val="24"/>
                <w:szCs w:val="24"/>
              </w:rPr>
              <w:t xml:space="preserve">brīža, kad procesā par piespiedu ietekmēšanas līdzekļu piemērošanu juridiskajai personai ir pieņemts lēmums par nodrošinājuma līdzekļa piemērošanu juridiskajai personai, </w:t>
            </w:r>
            <w:proofErr w:type="spellStart"/>
            <w:r w:rsidR="0045025F">
              <w:rPr>
                <w:rFonts w:ascii="Times New Roman" w:hAnsi="Times New Roman" w:cs="Times New Roman"/>
                <w:sz w:val="24"/>
                <w:szCs w:val="24"/>
              </w:rPr>
              <w:t>pirmstiesas</w:t>
            </w:r>
            <w:proofErr w:type="spellEnd"/>
            <w:r w:rsidR="0045025F">
              <w:rPr>
                <w:rFonts w:ascii="Times New Roman" w:hAnsi="Times New Roman" w:cs="Times New Roman"/>
                <w:sz w:val="24"/>
                <w:szCs w:val="24"/>
              </w:rPr>
              <w:t xml:space="preserve"> kriminālprocess</w:t>
            </w:r>
            <w:r w:rsidR="00B63CE2" w:rsidRPr="00B61B00">
              <w:rPr>
                <w:rFonts w:ascii="Times New Roman" w:hAnsi="Times New Roman" w:cs="Times New Roman"/>
                <w:sz w:val="24"/>
                <w:szCs w:val="24"/>
              </w:rPr>
              <w:t xml:space="preserve"> pret šo juridisko personu ir jāpabeidz vai jāatceļ visi nodrošinājuma līdzekļi šā panta pirmajā daļā noteiktajā termiņā.</w:t>
            </w:r>
            <w:r>
              <w:rPr>
                <w:rFonts w:ascii="Times New Roman" w:hAnsi="Times New Roman" w:cs="Times New Roman"/>
                <w:sz w:val="24"/>
                <w:szCs w:val="24"/>
              </w:rPr>
              <w:t xml:space="preserve"> Ņemot vērā nodrošinājuma līdzekļu juridisko dabu un to līdzību ar </w:t>
            </w:r>
            <w:r w:rsidRPr="006451F5">
              <w:rPr>
                <w:rFonts w:ascii="Times New Roman" w:hAnsi="Times New Roman" w:cs="Times New Roman"/>
                <w:sz w:val="24"/>
                <w:szCs w:val="24"/>
              </w:rPr>
              <w:t>drošības līdzekļiem fiziskai personai</w:t>
            </w:r>
            <w:r w:rsidR="002743E4">
              <w:rPr>
                <w:rFonts w:ascii="Times New Roman" w:hAnsi="Times New Roman" w:cs="Times New Roman"/>
                <w:sz w:val="24"/>
                <w:szCs w:val="24"/>
              </w:rPr>
              <w:t xml:space="preserve"> un mantas arestu</w:t>
            </w:r>
            <w:r w:rsidRPr="006451F5">
              <w:rPr>
                <w:rFonts w:ascii="Times New Roman" w:hAnsi="Times New Roman" w:cs="Times New Roman"/>
                <w:sz w:val="24"/>
                <w:szCs w:val="24"/>
              </w:rPr>
              <w:t xml:space="preserve">, tiesību ierobežošanas termiņi ir noteikti </w:t>
            </w:r>
            <w:r w:rsidR="00F8671A">
              <w:rPr>
                <w:rFonts w:ascii="Times New Roman" w:hAnsi="Times New Roman" w:cs="Times New Roman"/>
                <w:sz w:val="24"/>
                <w:szCs w:val="24"/>
              </w:rPr>
              <w:t>tādi paši</w:t>
            </w:r>
            <w:r w:rsidRPr="006451F5">
              <w:rPr>
                <w:rFonts w:ascii="Times New Roman" w:hAnsi="Times New Roman" w:cs="Times New Roman"/>
                <w:sz w:val="24"/>
                <w:szCs w:val="24"/>
              </w:rPr>
              <w:t xml:space="preserve">, un proti, ja process par piespiedu ietekmēšanas līdzekļa piemērošanu ir ierosināts par </w:t>
            </w:r>
            <w:r w:rsidRPr="006451F5">
              <w:rPr>
                <w:rFonts w:ascii="Times New Roman" w:eastAsia="Times New Roman" w:hAnsi="Times New Roman" w:cs="Times New Roman"/>
                <w:sz w:val="24"/>
                <w:szCs w:val="24"/>
              </w:rPr>
              <w:t xml:space="preserve">kriminālpārkāpumu nodrošinājuma līdzekļi process </w:t>
            </w:r>
            <w:r w:rsidRPr="006451F5">
              <w:rPr>
                <w:rFonts w:ascii="Times New Roman" w:hAnsi="Times New Roman" w:cs="Times New Roman"/>
                <w:sz w:val="24"/>
                <w:szCs w:val="24"/>
              </w:rPr>
              <w:t xml:space="preserve">ir jāpabeidz vai jāatceļ visi nodrošinājuma līdzekļi </w:t>
            </w:r>
            <w:r w:rsidRPr="006451F5">
              <w:rPr>
                <w:rFonts w:ascii="Times New Roman" w:eastAsia="Times New Roman" w:hAnsi="Times New Roman" w:cs="Times New Roman"/>
                <w:sz w:val="24"/>
                <w:szCs w:val="24"/>
              </w:rPr>
              <w:t>sešu mēnešu laikā, par mazāk smagu noziegumu — deviņu mēnešu laikā, par smagu noziegumu — divpadsmit mēnešu laikā, par sevišķi smagu noziegumu — divdesmit divu mēnešu laikā.</w:t>
            </w:r>
            <w:r>
              <w:rPr>
                <w:rFonts w:ascii="Times New Roman" w:eastAsia="Times New Roman" w:hAnsi="Times New Roman" w:cs="Times New Roman"/>
                <w:sz w:val="24"/>
                <w:szCs w:val="24"/>
              </w:rPr>
              <w:t xml:space="preserve"> </w:t>
            </w:r>
            <w:bookmarkEnd w:id="1"/>
            <w:r w:rsidR="002743E4" w:rsidRPr="00024BD8">
              <w:rPr>
                <w:rFonts w:ascii="Times New Roman" w:eastAsia="Times New Roman" w:hAnsi="Times New Roman" w:cs="Times New Roman"/>
                <w:sz w:val="24"/>
                <w:szCs w:val="24"/>
              </w:rPr>
              <w:t xml:space="preserve">Termiņa tecējums sākas no brīža, </w:t>
            </w:r>
            <w:r w:rsidR="0045025F" w:rsidRPr="00024BD8">
              <w:rPr>
                <w:rFonts w:ascii="Times New Roman" w:eastAsia="Times New Roman" w:hAnsi="Times New Roman" w:cs="Times New Roman"/>
                <w:sz w:val="24"/>
                <w:szCs w:val="24"/>
              </w:rPr>
              <w:t xml:space="preserve">kad </w:t>
            </w:r>
            <w:r w:rsidR="002743E4" w:rsidRPr="00024BD8">
              <w:rPr>
                <w:rFonts w:ascii="Times New Roman" w:eastAsia="Times New Roman" w:hAnsi="Times New Roman" w:cs="Times New Roman"/>
                <w:sz w:val="24"/>
                <w:szCs w:val="24"/>
              </w:rPr>
              <w:t xml:space="preserve">procesa virzītājs ir pieņēmis </w:t>
            </w:r>
            <w:r w:rsidR="002743E4" w:rsidRPr="00024BD8">
              <w:rPr>
                <w:rFonts w:ascii="Times New Roman" w:eastAsia="Times New Roman" w:hAnsi="Times New Roman" w:cs="Times New Roman"/>
                <w:b/>
                <w:bCs/>
                <w:sz w:val="24"/>
                <w:szCs w:val="24"/>
              </w:rPr>
              <w:t>pirmo</w:t>
            </w:r>
            <w:r w:rsidR="002743E4" w:rsidRPr="00024BD8">
              <w:rPr>
                <w:rFonts w:ascii="Times New Roman" w:eastAsia="Times New Roman" w:hAnsi="Times New Roman" w:cs="Times New Roman"/>
                <w:sz w:val="24"/>
                <w:szCs w:val="24"/>
              </w:rPr>
              <w:t xml:space="preserve"> lēmumu par nodrošinājuma līdzekļa piemērošanu</w:t>
            </w:r>
            <w:r w:rsidR="00024BD8" w:rsidRPr="00024BD8">
              <w:rPr>
                <w:rFonts w:ascii="Times New Roman" w:eastAsia="Times New Roman" w:hAnsi="Times New Roman" w:cs="Times New Roman"/>
                <w:sz w:val="24"/>
                <w:szCs w:val="24"/>
              </w:rPr>
              <w:t>, proti</w:t>
            </w:r>
            <w:r w:rsidR="00024BD8">
              <w:rPr>
                <w:rFonts w:ascii="Times New Roman" w:eastAsia="Times New Roman" w:hAnsi="Times New Roman" w:cs="Times New Roman"/>
                <w:sz w:val="24"/>
                <w:szCs w:val="24"/>
              </w:rPr>
              <w:t xml:space="preserve">, </w:t>
            </w:r>
            <w:r w:rsidR="00024BD8" w:rsidRPr="00024BD8">
              <w:rPr>
                <w:rFonts w:ascii="Times New Roman" w:hAnsi="Times New Roman" w:cs="Times New Roman"/>
                <w:color w:val="201F1E"/>
                <w:sz w:val="24"/>
                <w:szCs w:val="24"/>
                <w:shd w:val="clear" w:color="auto" w:fill="FFFFFF"/>
              </w:rPr>
              <w:t>no ierobežojumu piemērošanas brīža</w:t>
            </w:r>
            <w:r w:rsidR="00024BD8">
              <w:rPr>
                <w:rFonts w:ascii="Times New Roman" w:eastAsia="Times New Roman" w:hAnsi="Times New Roman" w:cs="Times New Roman"/>
                <w:sz w:val="24"/>
                <w:szCs w:val="24"/>
              </w:rPr>
              <w:t xml:space="preserve"> </w:t>
            </w:r>
          </w:p>
          <w:p w14:paraId="4672229D" w14:textId="427FF62A" w:rsidR="00B02AB4" w:rsidRPr="006451F5" w:rsidRDefault="006451F5" w:rsidP="006451F5">
            <w:pPr>
              <w:tabs>
                <w:tab w:val="left" w:pos="851"/>
              </w:tabs>
              <w:spacing w:after="0" w:line="240" w:lineRule="auto"/>
              <w:jc w:val="both"/>
              <w:rPr>
                <w:rFonts w:ascii="Times New Roman" w:hAnsi="Times New Roman" w:cs="Times New Roman"/>
                <w:sz w:val="24"/>
                <w:szCs w:val="24"/>
              </w:rPr>
            </w:pPr>
            <w:r w:rsidRPr="00CB201F">
              <w:rPr>
                <w:rFonts w:ascii="Times New Roman" w:eastAsia="Times New Roman" w:hAnsi="Times New Roman" w:cs="Times New Roman"/>
                <w:sz w:val="24"/>
                <w:szCs w:val="24"/>
              </w:rPr>
              <w:t xml:space="preserve">Norādāms, ka gadījumā, ja </w:t>
            </w:r>
            <w:proofErr w:type="spellStart"/>
            <w:r w:rsidRPr="00CB201F">
              <w:rPr>
                <w:rFonts w:ascii="Times New Roman" w:eastAsia="Times New Roman" w:hAnsi="Times New Roman" w:cs="Times New Roman"/>
                <w:sz w:val="24"/>
                <w:szCs w:val="24"/>
              </w:rPr>
              <w:t>pirmstiesas</w:t>
            </w:r>
            <w:proofErr w:type="spellEnd"/>
            <w:r w:rsidRPr="00CB201F">
              <w:rPr>
                <w:rFonts w:ascii="Times New Roman" w:eastAsia="Times New Roman" w:hAnsi="Times New Roman" w:cs="Times New Roman"/>
                <w:sz w:val="24"/>
                <w:szCs w:val="24"/>
              </w:rPr>
              <w:t xml:space="preserve"> </w:t>
            </w:r>
            <w:r w:rsidR="00860472">
              <w:rPr>
                <w:rFonts w:ascii="Times New Roman" w:eastAsia="Times New Roman" w:hAnsi="Times New Roman" w:cs="Times New Roman"/>
                <w:sz w:val="24"/>
                <w:szCs w:val="24"/>
              </w:rPr>
              <w:t>krimināl</w:t>
            </w:r>
            <w:r w:rsidRPr="00CB201F">
              <w:rPr>
                <w:rFonts w:ascii="Times New Roman" w:eastAsia="Times New Roman" w:hAnsi="Times New Roman" w:cs="Times New Roman"/>
                <w:sz w:val="24"/>
                <w:szCs w:val="24"/>
              </w:rPr>
              <w:t xml:space="preserve">process </w:t>
            </w:r>
            <w:r w:rsidRPr="00CB201F">
              <w:rPr>
                <w:rFonts w:ascii="Times New Roman" w:hAnsi="Times New Roman" w:cs="Times New Roman"/>
                <w:sz w:val="24"/>
                <w:szCs w:val="24"/>
              </w:rPr>
              <w:t>par piespiedu ietekmēšanas līdzekļa piemērošanu noteiktajos termiņos tiek pabeigts (</w:t>
            </w:r>
            <w:r w:rsidR="00B02AB4" w:rsidRPr="00CB201F">
              <w:rPr>
                <w:rFonts w:ascii="Times New Roman" w:hAnsi="Times New Roman" w:cs="Times New Roman"/>
                <w:sz w:val="24"/>
                <w:szCs w:val="24"/>
              </w:rPr>
              <w:t>piemēram, lieta nodota tiesai) nodrošinājuma līdzeklis paliek spēkā arī iztiesāšanas laikā.</w:t>
            </w:r>
            <w:r w:rsidR="00B02AB4">
              <w:rPr>
                <w:rFonts w:ascii="Times New Roman" w:hAnsi="Times New Roman" w:cs="Times New Roman"/>
                <w:sz w:val="24"/>
                <w:szCs w:val="24"/>
              </w:rPr>
              <w:t xml:space="preserve"> </w:t>
            </w:r>
          </w:p>
          <w:p w14:paraId="22ECBCCC" w14:textId="77141DA9" w:rsidR="00313EA0" w:rsidRPr="00B02AB4" w:rsidRDefault="009D3A41" w:rsidP="009D3A41">
            <w:pPr>
              <w:shd w:val="clear" w:color="auto" w:fill="FFFFFF"/>
              <w:spacing w:after="0" w:line="240" w:lineRule="auto"/>
              <w:jc w:val="both"/>
              <w:rPr>
                <w:rFonts w:ascii="Times New Roman" w:hAnsi="Times New Roman" w:cs="Times New Roman"/>
                <w:sz w:val="24"/>
                <w:szCs w:val="24"/>
                <w:shd w:val="clear" w:color="auto" w:fill="FFFFFF"/>
              </w:rPr>
            </w:pPr>
            <w:r w:rsidRPr="009D3A41">
              <w:rPr>
                <w:rFonts w:ascii="Times New Roman" w:hAnsi="Times New Roman" w:cs="Times New Roman"/>
                <w:sz w:val="24"/>
                <w:szCs w:val="24"/>
              </w:rPr>
              <w:t xml:space="preserve">Attiecīgi ar grozījumiem šā panta otrajā daļā paredzēts noteikt tiesības pagarināt nodrošinājuma līdzekļu piemērošanas termiņu atbilstoši pašreizējai kārtībai attiecībā uz drošības </w:t>
            </w:r>
            <w:r w:rsidRPr="00B02AB4">
              <w:rPr>
                <w:rFonts w:ascii="Times New Roman" w:hAnsi="Times New Roman" w:cs="Times New Roman"/>
                <w:sz w:val="24"/>
                <w:szCs w:val="24"/>
              </w:rPr>
              <w:t xml:space="preserve">līdzekļiem un arestēto mantu. Tāpat arī ar grozījumiem trešajā daļā paredzēts ietvert atsauci uz nodrošinājuma līdzekļiem, nosakot, ka noteiktie </w:t>
            </w:r>
            <w:r w:rsidRPr="00B02AB4">
              <w:rPr>
                <w:rFonts w:ascii="Times New Roman" w:hAnsi="Times New Roman" w:cs="Times New Roman"/>
                <w:sz w:val="24"/>
                <w:szCs w:val="24"/>
                <w:shd w:val="clear" w:color="auto" w:fill="FFFFFF"/>
              </w:rPr>
              <w:t>termiņi tiek apturēti, ja tiek apturēts kriminālprocess.</w:t>
            </w:r>
          </w:p>
          <w:p w14:paraId="38EF31E3" w14:textId="75554FDA" w:rsidR="009C4F26" w:rsidRDefault="00B02AB4" w:rsidP="00B02AB4">
            <w:pPr>
              <w:shd w:val="clear" w:color="auto" w:fill="FFFFFF"/>
              <w:spacing w:after="0" w:line="240" w:lineRule="auto"/>
              <w:jc w:val="both"/>
              <w:rPr>
                <w:rFonts w:ascii="Times New Roman" w:hAnsi="Times New Roman" w:cs="Times New Roman"/>
                <w:sz w:val="24"/>
                <w:szCs w:val="24"/>
                <w:shd w:val="clear" w:color="auto" w:fill="FFFFFF"/>
              </w:rPr>
            </w:pPr>
            <w:r w:rsidRPr="00B02AB4">
              <w:rPr>
                <w:rFonts w:ascii="Times New Roman" w:hAnsi="Times New Roman" w:cs="Times New Roman"/>
                <w:sz w:val="24"/>
                <w:szCs w:val="24"/>
                <w:shd w:val="clear" w:color="auto" w:fill="FFFFFF"/>
              </w:rPr>
              <w:t xml:space="preserve">Norādāms, ka arī nodrošinājuma līdzekļus procesa virzītājs </w:t>
            </w:r>
            <w:r w:rsidR="00F8671A">
              <w:rPr>
                <w:rFonts w:ascii="Times New Roman" w:hAnsi="Times New Roman" w:cs="Times New Roman"/>
                <w:sz w:val="24"/>
                <w:szCs w:val="24"/>
                <w:shd w:val="clear" w:color="auto" w:fill="FFFFFF"/>
              </w:rPr>
              <w:t xml:space="preserve">būs </w:t>
            </w:r>
            <w:r w:rsidRPr="00B02AB4">
              <w:rPr>
                <w:rFonts w:ascii="Times New Roman" w:hAnsi="Times New Roman" w:cs="Times New Roman"/>
                <w:sz w:val="24"/>
                <w:szCs w:val="24"/>
                <w:shd w:val="clear" w:color="auto" w:fill="FFFFFF"/>
              </w:rPr>
              <w:t>tiesīgs grozīt vai atcelt atbilstoši KPL  249. pantam. Vienlaikus norādāms, ka nodrošinājuma līdzekļi nav gradējami pēc to ierobežojoš</w:t>
            </w:r>
            <w:r w:rsidR="00F8671A">
              <w:rPr>
                <w:rFonts w:ascii="Times New Roman" w:hAnsi="Times New Roman" w:cs="Times New Roman"/>
                <w:sz w:val="24"/>
                <w:szCs w:val="24"/>
                <w:shd w:val="clear" w:color="auto" w:fill="FFFFFF"/>
              </w:rPr>
              <w:t>ā</w:t>
            </w:r>
            <w:r w:rsidRPr="00B02AB4">
              <w:rPr>
                <w:rFonts w:ascii="Times New Roman" w:hAnsi="Times New Roman" w:cs="Times New Roman"/>
                <w:sz w:val="24"/>
                <w:szCs w:val="24"/>
                <w:shd w:val="clear" w:color="auto" w:fill="FFFFFF"/>
              </w:rPr>
              <w:t>s ietekmes, līdz ar to procesa virzītājam nebūs iespējams izvēlēties vairāk ierobežojošu nodrošinājuma līdzekli gadījumā, ja juridiskā persona pārkāpj piemērotā nodrošinājuma līdzekļa noteikumus vai nepilda savus procesuālos pienākumus, bet šādā situācijā būtu piemērojama piespiedu nauda saskaņā ar jauno KPL 292.</w:t>
            </w:r>
            <w:r>
              <w:rPr>
                <w:rFonts w:ascii="Times New Roman" w:hAnsi="Times New Roman" w:cs="Times New Roman"/>
                <w:sz w:val="24"/>
                <w:szCs w:val="24"/>
                <w:shd w:val="clear" w:color="auto" w:fill="FFFFFF"/>
              </w:rPr>
              <w:t> </w:t>
            </w:r>
            <w:r w:rsidRPr="00B02AB4">
              <w:rPr>
                <w:rFonts w:ascii="Times New Roman" w:hAnsi="Times New Roman" w:cs="Times New Roman"/>
                <w:sz w:val="24"/>
                <w:szCs w:val="24"/>
                <w:shd w:val="clear" w:color="auto" w:fill="FFFFFF"/>
              </w:rPr>
              <w:t>panta otro daļu.</w:t>
            </w:r>
          </w:p>
          <w:p w14:paraId="64E5587A" w14:textId="11ED0394" w:rsidR="000F5E4B" w:rsidRDefault="000F5E4B" w:rsidP="00B02AB4">
            <w:pPr>
              <w:shd w:val="clear" w:color="auto" w:fill="FFFFFF"/>
              <w:spacing w:after="0" w:line="240" w:lineRule="auto"/>
              <w:jc w:val="both"/>
              <w:rPr>
                <w:rFonts w:ascii="Times New Roman" w:hAnsi="Times New Roman" w:cs="Times New Roman"/>
                <w:sz w:val="24"/>
                <w:szCs w:val="24"/>
                <w:shd w:val="clear" w:color="auto" w:fill="FFFFFF"/>
              </w:rPr>
            </w:pPr>
          </w:p>
          <w:p w14:paraId="4CAEF3D2" w14:textId="1C801DB7" w:rsidR="000F5E4B" w:rsidRDefault="000F5E4B" w:rsidP="000F5E4B">
            <w:pPr>
              <w:shd w:val="clear" w:color="auto" w:fill="FFFFFF"/>
              <w:spacing w:after="0" w:line="240" w:lineRule="auto"/>
              <w:jc w:val="both"/>
              <w:rPr>
                <w:rFonts w:ascii="Times New Roman" w:hAnsi="Times New Roman" w:cs="Times New Roman"/>
                <w:b/>
                <w:bCs/>
                <w:sz w:val="24"/>
                <w:szCs w:val="24"/>
                <w:shd w:val="clear" w:color="auto" w:fill="FFFFFF"/>
              </w:rPr>
            </w:pPr>
            <w:r w:rsidRPr="000F5E4B">
              <w:rPr>
                <w:rFonts w:ascii="Times New Roman" w:hAnsi="Times New Roman" w:cs="Times New Roman"/>
                <w:b/>
                <w:bCs/>
                <w:sz w:val="24"/>
                <w:szCs w:val="24"/>
                <w:shd w:val="clear" w:color="auto" w:fill="FFFFFF"/>
              </w:rPr>
              <w:t xml:space="preserve">Par Valsts kontroles revīzijā ietvertajiem priekšlikumiem. </w:t>
            </w:r>
          </w:p>
          <w:p w14:paraId="57B262F6" w14:textId="77777777" w:rsidR="000F5E4B" w:rsidRPr="000F5E4B" w:rsidRDefault="000F5E4B" w:rsidP="000F5E4B">
            <w:pPr>
              <w:tabs>
                <w:tab w:val="left" w:pos="240"/>
              </w:tabs>
              <w:spacing w:after="0" w:line="240" w:lineRule="auto"/>
              <w:jc w:val="both"/>
              <w:rPr>
                <w:rFonts w:ascii="Times New Roman" w:eastAsia="Calibri" w:hAnsi="Times New Roman" w:cs="Times New Roman"/>
                <w:sz w:val="24"/>
                <w:szCs w:val="24"/>
              </w:rPr>
            </w:pPr>
            <w:r w:rsidRPr="000F5E4B">
              <w:rPr>
                <w:rFonts w:ascii="Times New Roman" w:eastAsia="Calibri" w:hAnsi="Times New Roman" w:cs="Times New Roman"/>
                <w:sz w:val="24"/>
                <w:szCs w:val="24"/>
              </w:rPr>
              <w:t xml:space="preserve">Grozījumi </w:t>
            </w:r>
            <w:r w:rsidRPr="000F5E4B">
              <w:rPr>
                <w:rFonts w:ascii="Times New Roman" w:eastAsia="Calibri" w:hAnsi="Times New Roman" w:cs="Times New Roman"/>
                <w:b/>
                <w:bCs/>
                <w:sz w:val="24"/>
                <w:szCs w:val="24"/>
              </w:rPr>
              <w:t>KPL 146. un 147. pantā</w:t>
            </w:r>
            <w:r w:rsidRPr="000F5E4B">
              <w:rPr>
                <w:rFonts w:ascii="Times New Roman" w:eastAsia="Calibri" w:hAnsi="Times New Roman" w:cs="Times New Roman"/>
                <w:sz w:val="24"/>
                <w:szCs w:val="24"/>
              </w:rPr>
              <w:t xml:space="preserve"> ir savstarpēji saistīti un vērsti uz procesa virzītāja tiesībām, nepieciešamības gadījumā, pieaicināt personu, kurai ir tiesības uz aizstāvību </w:t>
            </w:r>
            <w:r w:rsidRPr="000F5E4B">
              <w:rPr>
                <w:rFonts w:ascii="Times New Roman" w:eastAsia="Calibri" w:hAnsi="Times New Roman" w:cs="Times New Roman"/>
                <w:sz w:val="24"/>
                <w:szCs w:val="24"/>
              </w:rPr>
              <w:lastRenderedPageBreak/>
              <w:t xml:space="preserve">un viņas aizstāvi, ja tāds ir, piedalīties citas personas pratināšanā konkrētā kriminālprocesā. </w:t>
            </w:r>
          </w:p>
          <w:p w14:paraId="718B58C5" w14:textId="77777777" w:rsidR="000F5E4B" w:rsidRPr="000F5E4B" w:rsidRDefault="000F5E4B" w:rsidP="000F5E4B">
            <w:pPr>
              <w:tabs>
                <w:tab w:val="left" w:pos="240"/>
              </w:tabs>
              <w:spacing w:after="0" w:line="240" w:lineRule="auto"/>
              <w:jc w:val="both"/>
              <w:rPr>
                <w:rFonts w:ascii="Times New Roman" w:eastAsia="Calibri" w:hAnsi="Times New Roman" w:cs="Times New Roman"/>
                <w:sz w:val="24"/>
                <w:szCs w:val="24"/>
              </w:rPr>
            </w:pPr>
            <w:r w:rsidRPr="000F5E4B">
              <w:rPr>
                <w:rFonts w:ascii="Times New Roman" w:eastAsia="Calibri" w:hAnsi="Times New Roman" w:cs="Times New Roman"/>
                <w:sz w:val="24"/>
                <w:szCs w:val="24"/>
              </w:rPr>
              <w:t xml:space="preserve">Grozījumi ir vērsti uz lietas izmeklēšanas un iztiesāšanas </w:t>
            </w:r>
            <w:proofErr w:type="spellStart"/>
            <w:r w:rsidRPr="000F5E4B">
              <w:rPr>
                <w:rFonts w:ascii="Times New Roman" w:eastAsia="Calibri" w:hAnsi="Times New Roman" w:cs="Times New Roman"/>
                <w:sz w:val="24"/>
                <w:szCs w:val="24"/>
              </w:rPr>
              <w:t>efektivizēšanu</w:t>
            </w:r>
            <w:proofErr w:type="spellEnd"/>
            <w:r w:rsidRPr="000F5E4B">
              <w:rPr>
                <w:rFonts w:ascii="Times New Roman" w:eastAsia="Calibri" w:hAnsi="Times New Roman" w:cs="Times New Roman"/>
                <w:sz w:val="24"/>
                <w:szCs w:val="24"/>
              </w:rPr>
              <w:t xml:space="preserve">, proti, gadījumā, ja personai, kurai ir tiesības uz aizstāvību jau </w:t>
            </w:r>
            <w:proofErr w:type="spellStart"/>
            <w:r w:rsidRPr="000F5E4B">
              <w:rPr>
                <w:rFonts w:ascii="Times New Roman" w:eastAsia="Calibri" w:hAnsi="Times New Roman" w:cs="Times New Roman"/>
                <w:sz w:val="24"/>
                <w:szCs w:val="24"/>
              </w:rPr>
              <w:t>pirmstiesas</w:t>
            </w:r>
            <w:proofErr w:type="spellEnd"/>
            <w:r w:rsidRPr="000F5E4B">
              <w:rPr>
                <w:rFonts w:ascii="Times New Roman" w:eastAsia="Calibri" w:hAnsi="Times New Roman" w:cs="Times New Roman"/>
                <w:sz w:val="24"/>
                <w:szCs w:val="24"/>
              </w:rPr>
              <w:t xml:space="preserve"> procesā būs piedalījusies, piemēram, liecinieka nopratināšanā, pastāv liela iespēja, ka šo personu vairs nebūs nepieciešams atkārtoti nopratināt iztiesāšanas laikā, ievērojot, ka pamatā aizstāvības puse nosaka personas, kuras būtu aicināmas uz tiesu saskaņā ar KPL 489.panta pirmo un otro daļu. </w:t>
            </w:r>
          </w:p>
          <w:p w14:paraId="09D982DE" w14:textId="77777777" w:rsidR="000F5E4B" w:rsidRPr="000F5E4B" w:rsidRDefault="000F5E4B" w:rsidP="000F5E4B">
            <w:pPr>
              <w:spacing w:after="0" w:line="240" w:lineRule="auto"/>
              <w:jc w:val="both"/>
              <w:rPr>
                <w:rFonts w:ascii="Times New Roman" w:eastAsia="Calibri" w:hAnsi="Times New Roman" w:cs="Times New Roman"/>
                <w:sz w:val="24"/>
                <w:szCs w:val="24"/>
                <w:shd w:val="clear" w:color="auto" w:fill="FFFFFF"/>
              </w:rPr>
            </w:pPr>
            <w:r w:rsidRPr="000F5E4B">
              <w:rPr>
                <w:rFonts w:ascii="Times New Roman" w:eastAsia="Calibri" w:hAnsi="Times New Roman" w:cs="Times New Roman"/>
                <w:sz w:val="24"/>
                <w:szCs w:val="24"/>
              </w:rPr>
              <w:t xml:space="preserve">Atbilstoši Cilvēka tiesību un pamatbrīvību aizsardzības konvencijas 6.panta 3.punkta d) apakšpunktam </w:t>
            </w:r>
            <w:r w:rsidRPr="000F5E4B">
              <w:rPr>
                <w:rFonts w:ascii="Times New Roman" w:eastAsia="Calibri" w:hAnsi="Times New Roman" w:cs="Times New Roman"/>
                <w:sz w:val="24"/>
                <w:szCs w:val="24"/>
                <w:shd w:val="clear" w:color="auto" w:fill="FFFFFF"/>
              </w:rPr>
              <w:t xml:space="preserve">ikvienam, kas tiek apsūdzēts kriminālnoziegumā, ir minimālās tiesības nopratināt vai būt nopratinājušam apsūdzības lieciniekus un pieprasīt aizstāvības liecinieku klātbūtni un nopratināšanu tajos pašos apstākļos kā apsūdzības lieciniekus. Vienlaikus konstatēts, ka praksē ne vienmēr ir iespējams nodrošināt apsūdzības liecinieku piedalīšanos tiesas sēdē, kā rezultātā liecības tiek nolasītas atbilstoši 501. panta 3. vai 4. punktam. Minētā situācija apdraud kriminālprocesa mērķa sasniegšanu gadījumā, ja konkrētā liecinieka liecības ir izšķirošas. Darba grupā eksperti atzina, ka personas notiesāšana, pamatojoties uz nolasītām liecinieka liecībām var būt tiesību uz taisnīgu tiesu pārkāpums. </w:t>
            </w:r>
          </w:p>
          <w:p w14:paraId="787E3784" w14:textId="7EDA82EA" w:rsidR="000F5E4B" w:rsidRPr="000F5E4B" w:rsidRDefault="000F5E4B" w:rsidP="000F5E4B">
            <w:pPr>
              <w:spacing w:after="0" w:line="240" w:lineRule="auto"/>
              <w:jc w:val="both"/>
              <w:rPr>
                <w:rFonts w:ascii="Times New Roman" w:eastAsia="Calibri" w:hAnsi="Times New Roman" w:cs="Times New Roman"/>
                <w:sz w:val="24"/>
                <w:szCs w:val="24"/>
                <w:shd w:val="clear" w:color="auto" w:fill="FFFFFF"/>
              </w:rPr>
            </w:pPr>
            <w:r w:rsidRPr="000F5E4B">
              <w:rPr>
                <w:rFonts w:ascii="Times New Roman" w:eastAsia="Calibri" w:hAnsi="Times New Roman" w:cs="Times New Roman"/>
                <w:sz w:val="24"/>
                <w:szCs w:val="24"/>
                <w:shd w:val="clear" w:color="auto" w:fill="FFFFFF"/>
              </w:rPr>
              <w:t xml:space="preserve">Minētās tiesības procesa virzītājam pamatā būtu jāizmanto gadījumos, kad izmeklēšanas vai kriminālvajāšanas laikā ir zināms, ka </w:t>
            </w:r>
            <w:r w:rsidR="00785175">
              <w:rPr>
                <w:rFonts w:ascii="Times New Roman" w:eastAsia="Calibri" w:hAnsi="Times New Roman" w:cs="Times New Roman"/>
                <w:sz w:val="24"/>
                <w:szCs w:val="24"/>
                <w:shd w:val="clear" w:color="auto" w:fill="FFFFFF"/>
              </w:rPr>
              <w:t>persona</w:t>
            </w:r>
            <w:r w:rsidRPr="000F5E4B">
              <w:rPr>
                <w:rFonts w:ascii="Times New Roman" w:eastAsia="Calibri" w:hAnsi="Times New Roman" w:cs="Times New Roman"/>
                <w:sz w:val="24"/>
                <w:szCs w:val="24"/>
                <w:shd w:val="clear" w:color="auto" w:fill="FFFFFF"/>
              </w:rPr>
              <w:t xml:space="preserve"> smagas slimības, vecuma vai citu iemeslu dēļ turpmāk nevarēs piedalīties kriminālprocesā, jo īpaši gadījumos, kad</w:t>
            </w:r>
            <w:r w:rsidR="00785175">
              <w:rPr>
                <w:rFonts w:ascii="Times New Roman" w:eastAsia="Calibri" w:hAnsi="Times New Roman" w:cs="Times New Roman"/>
                <w:sz w:val="24"/>
                <w:szCs w:val="24"/>
                <w:shd w:val="clear" w:color="auto" w:fill="FFFFFF"/>
              </w:rPr>
              <w:t xml:space="preserve"> šīs personas</w:t>
            </w:r>
            <w:r w:rsidRPr="000F5E4B">
              <w:rPr>
                <w:rFonts w:ascii="Times New Roman" w:eastAsia="Calibri" w:hAnsi="Times New Roman" w:cs="Times New Roman"/>
                <w:sz w:val="24"/>
                <w:szCs w:val="24"/>
                <w:shd w:val="clear" w:color="auto" w:fill="FFFFFF"/>
              </w:rPr>
              <w:t xml:space="preserve"> liecība kā pierādījums ir izšķirošs konkrētajā kriminālprocesā. </w:t>
            </w:r>
          </w:p>
          <w:p w14:paraId="1D24BDFD" w14:textId="76D2E1CC" w:rsidR="000F5E4B" w:rsidRPr="000F5E4B" w:rsidRDefault="000F5E4B" w:rsidP="000F5E4B">
            <w:pPr>
              <w:spacing w:after="0" w:line="240" w:lineRule="auto"/>
              <w:jc w:val="both"/>
              <w:rPr>
                <w:rFonts w:ascii="Times New Roman" w:eastAsia="Calibri" w:hAnsi="Times New Roman" w:cs="Times New Roman"/>
                <w:sz w:val="24"/>
                <w:szCs w:val="24"/>
                <w:shd w:val="clear" w:color="auto" w:fill="FFFFFF"/>
              </w:rPr>
            </w:pPr>
            <w:r w:rsidRPr="000F5E4B">
              <w:rPr>
                <w:rFonts w:ascii="Times New Roman" w:eastAsia="Calibri" w:hAnsi="Times New Roman" w:cs="Times New Roman"/>
                <w:sz w:val="24"/>
                <w:szCs w:val="24"/>
                <w:shd w:val="clear" w:color="auto" w:fill="FFFFFF"/>
              </w:rPr>
              <w:t>Atbilstoši grozījumiem procesa virzītājs par plānoto pratināšanu paziņo personai, kurai ir tiesības uz aizstāvību vispārējā kārtībā, proti, ar pavēsti vai citādā veidā atbilstoši KPL 146. panta pirmajai daļai. Vienlaikus grozījumi KPL 146. panta piektajā daļa paredz noteikt, ka gadījumā, ja persona, kurai ir tiesības uz aizstāvību neizmanto savas tiesības piedalīties pratināšanā, viņas neierašanās nav šķērslis pratināšanas veikšana</w:t>
            </w:r>
            <w:r w:rsidR="00DF7102">
              <w:rPr>
                <w:rFonts w:ascii="Times New Roman" w:eastAsia="Calibri" w:hAnsi="Times New Roman" w:cs="Times New Roman"/>
                <w:sz w:val="24"/>
                <w:szCs w:val="24"/>
                <w:shd w:val="clear" w:color="auto" w:fill="FFFFFF"/>
              </w:rPr>
              <w:t>i</w:t>
            </w:r>
            <w:r w:rsidRPr="000F5E4B">
              <w:rPr>
                <w:rFonts w:ascii="Times New Roman" w:eastAsia="Calibri" w:hAnsi="Times New Roman" w:cs="Times New Roman"/>
                <w:sz w:val="24"/>
                <w:szCs w:val="24"/>
                <w:shd w:val="clear" w:color="auto" w:fill="FFFFFF"/>
              </w:rPr>
              <w:t xml:space="preserve">. No minētā izriet arī tas, ka procesa virzītājam nav pienākums ar aizstāvības pusi </w:t>
            </w:r>
            <w:r w:rsidR="000D1C81">
              <w:rPr>
                <w:rFonts w:ascii="Times New Roman" w:eastAsia="Calibri" w:hAnsi="Times New Roman" w:cs="Times New Roman"/>
                <w:sz w:val="24"/>
                <w:szCs w:val="24"/>
                <w:shd w:val="clear" w:color="auto" w:fill="FFFFFF"/>
              </w:rPr>
              <w:t>saskaņot laiku, kad tiks veikta pratināšana.</w:t>
            </w:r>
            <w:r w:rsidRPr="000F5E4B">
              <w:rPr>
                <w:rFonts w:ascii="Times New Roman" w:eastAsia="Calibri" w:hAnsi="Times New Roman" w:cs="Times New Roman"/>
                <w:sz w:val="24"/>
                <w:szCs w:val="24"/>
                <w:shd w:val="clear" w:color="auto" w:fill="FFFFFF"/>
              </w:rPr>
              <w:t xml:space="preserve"> </w:t>
            </w:r>
          </w:p>
          <w:p w14:paraId="25995047" w14:textId="77777777" w:rsidR="000F5E4B" w:rsidRPr="000F5E4B" w:rsidRDefault="000F5E4B" w:rsidP="000F5E4B">
            <w:pPr>
              <w:spacing w:after="0" w:line="240" w:lineRule="auto"/>
              <w:jc w:val="both"/>
              <w:rPr>
                <w:rFonts w:ascii="Times New Roman" w:eastAsia="Calibri" w:hAnsi="Times New Roman" w:cs="Times New Roman"/>
                <w:sz w:val="24"/>
                <w:szCs w:val="24"/>
                <w:shd w:val="clear" w:color="auto" w:fill="FFFFFF"/>
              </w:rPr>
            </w:pPr>
            <w:r w:rsidRPr="000F5E4B">
              <w:rPr>
                <w:rFonts w:ascii="Times New Roman" w:eastAsia="Calibri" w:hAnsi="Times New Roman" w:cs="Times New Roman"/>
                <w:sz w:val="24"/>
                <w:szCs w:val="24"/>
                <w:shd w:val="clear" w:color="auto" w:fill="FFFFFF"/>
              </w:rPr>
              <w:t xml:space="preserve">Savukārt grozījumi </w:t>
            </w:r>
            <w:r w:rsidRPr="00785175">
              <w:rPr>
                <w:rFonts w:ascii="Times New Roman" w:eastAsia="Calibri" w:hAnsi="Times New Roman" w:cs="Times New Roman"/>
                <w:b/>
                <w:bCs/>
                <w:sz w:val="24"/>
                <w:szCs w:val="24"/>
                <w:shd w:val="clear" w:color="auto" w:fill="FFFFFF"/>
              </w:rPr>
              <w:t>KPL 147. panta astotajā daļā</w:t>
            </w:r>
            <w:r w:rsidRPr="000F5E4B">
              <w:rPr>
                <w:rFonts w:ascii="Times New Roman" w:eastAsia="Calibri" w:hAnsi="Times New Roman" w:cs="Times New Roman"/>
                <w:sz w:val="24"/>
                <w:szCs w:val="24"/>
                <w:shd w:val="clear" w:color="auto" w:fill="FFFFFF"/>
              </w:rPr>
              <w:t xml:space="preserve"> paredz aizstāvības pusei </w:t>
            </w:r>
            <w:r w:rsidRPr="000F5E4B">
              <w:rPr>
                <w:rFonts w:ascii="Times New Roman" w:eastAsia="Times New Roman" w:hAnsi="Times New Roman" w:cs="Times New Roman"/>
                <w:sz w:val="24"/>
                <w:szCs w:val="24"/>
              </w:rPr>
              <w:t xml:space="preserve">tiesības uzdot jautājumus pratināšanas laikā, ievērojot procesa virzītāja noteikto pratināšanas kārtību. No minētā izriet, ka procesa virzītājs joprojām virza pratināšanu un nodrošina visu procesuālo tiesību ievērošanu, tādējādi tikai pēc procesa virzītāja atļaujas aizstāvības pusei ir tiesības uzdot jautājumus. </w:t>
            </w:r>
          </w:p>
          <w:p w14:paraId="61223C78" w14:textId="77777777" w:rsidR="000F5E4B" w:rsidRPr="007334AD" w:rsidRDefault="000F5E4B" w:rsidP="000F5E4B">
            <w:pPr>
              <w:pStyle w:val="Sarakstarindkopa"/>
              <w:spacing w:after="0" w:line="240" w:lineRule="auto"/>
              <w:ind w:left="0"/>
              <w:jc w:val="both"/>
              <w:rPr>
                <w:rFonts w:ascii="Times New Roman" w:hAnsi="Times New Roman" w:cs="Times New Roman"/>
                <w:sz w:val="24"/>
                <w:szCs w:val="24"/>
              </w:rPr>
            </w:pPr>
            <w:r w:rsidRPr="007334AD">
              <w:rPr>
                <w:rFonts w:ascii="Times New Roman" w:hAnsi="Times New Roman" w:cs="Times New Roman"/>
                <w:sz w:val="24"/>
                <w:szCs w:val="24"/>
              </w:rPr>
              <w:t xml:space="preserve">Grozījums </w:t>
            </w:r>
            <w:r w:rsidRPr="007334AD">
              <w:rPr>
                <w:rFonts w:ascii="Times New Roman" w:hAnsi="Times New Roman" w:cs="Times New Roman"/>
                <w:b/>
                <w:bCs/>
                <w:sz w:val="24"/>
                <w:szCs w:val="24"/>
              </w:rPr>
              <w:t>KPL 333.</w:t>
            </w:r>
            <w:r w:rsidRPr="007334AD">
              <w:rPr>
                <w:rFonts w:ascii="Times New Roman" w:hAnsi="Times New Roman" w:cs="Times New Roman"/>
                <w:b/>
                <w:bCs/>
                <w:sz w:val="24"/>
                <w:szCs w:val="24"/>
                <w:vertAlign w:val="superscript"/>
              </w:rPr>
              <w:t>1</w:t>
            </w:r>
            <w:r w:rsidRPr="007334AD">
              <w:rPr>
                <w:rFonts w:ascii="Times New Roman" w:hAnsi="Times New Roman" w:cs="Times New Roman"/>
                <w:b/>
                <w:bCs/>
                <w:sz w:val="24"/>
                <w:szCs w:val="24"/>
              </w:rPr>
              <w:t xml:space="preserve"> pantā</w:t>
            </w:r>
            <w:r w:rsidRPr="007334AD">
              <w:rPr>
                <w:rFonts w:ascii="Times New Roman" w:hAnsi="Times New Roman" w:cs="Times New Roman"/>
                <w:sz w:val="24"/>
                <w:szCs w:val="24"/>
              </w:rPr>
              <w:t xml:space="preserve"> paredz uzlikt par pienākumu procesa dalībniekiem visus ar konkrēto krimināllietas iztiesāšanu saistītos pieteikumus, iesniegumus un lūgumus iesniegt tiesā ne vēlāk kā 10 darba dienas līdz iztiesāšanas </w:t>
            </w:r>
            <w:r w:rsidRPr="007334AD">
              <w:rPr>
                <w:rFonts w:ascii="Times New Roman" w:hAnsi="Times New Roman" w:cs="Times New Roman"/>
                <w:sz w:val="24"/>
                <w:szCs w:val="24"/>
              </w:rPr>
              <w:lastRenderedPageBreak/>
              <w:t xml:space="preserve">uzsākšanai. Grozījums saistīts ar praksē konstatētajām problēmām, kad procesa dalībnieki iesniedz pieteikumus vai lūgumu pirmajā tiesas sēdē, kā rezultātā ir nepieciešams taisīt pārtraukumu un atlikt tiesas sēdi, lai nodrošinātu citu procesa dalībnieku tiesības iepazīties ar pieteikumu vai lūgumu un sniegt par to viedokli. Īpaši aktuāli tas ir gadījumos, kad iesniegtie pieteikumi vai lūgumi ir liela apjoma. Savukārt, ja persona savu pieteikumu būs iesniegusi savlaicīgi, pārējie procesa dalībnieki ar to varēs iepazīties vēl pirms tiesas sēdes un tiesas sēdē izteikt viedokli. Tāpat grozījums </w:t>
            </w:r>
            <w:proofErr w:type="spellStart"/>
            <w:r w:rsidRPr="007334AD">
              <w:rPr>
                <w:rFonts w:ascii="Times New Roman" w:hAnsi="Times New Roman" w:cs="Times New Roman"/>
                <w:sz w:val="24"/>
                <w:szCs w:val="24"/>
              </w:rPr>
              <w:t>efektivizēs</w:t>
            </w:r>
            <w:proofErr w:type="spellEnd"/>
            <w:r w:rsidRPr="007334AD">
              <w:rPr>
                <w:rFonts w:ascii="Times New Roman" w:hAnsi="Times New Roman" w:cs="Times New Roman"/>
                <w:sz w:val="24"/>
                <w:szCs w:val="24"/>
              </w:rPr>
              <w:t xml:space="preserve"> tiesnešu darbu, proti, tiesnesim būs iespēja plānot nepieciešamo laiku pirmajai tiesas sēdei (piemēram, tikai lūgumu izlemšanai, ja tas pēc sava satura apmierināšanas gadījumā nepieļauj uzsākt iztiesāšanu). </w:t>
            </w:r>
          </w:p>
          <w:p w14:paraId="7976A0FB" w14:textId="77777777" w:rsidR="000F5E4B" w:rsidRPr="007334AD" w:rsidRDefault="000F5E4B" w:rsidP="000F5E4B">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Uz šāda</w:t>
            </w:r>
            <w:r w:rsidRPr="007334AD">
              <w:rPr>
                <w:rFonts w:ascii="Times New Roman" w:hAnsi="Times New Roman" w:cs="Times New Roman"/>
                <w:sz w:val="24"/>
                <w:szCs w:val="24"/>
              </w:rPr>
              <w:t xml:space="preserve"> grozījum</w:t>
            </w:r>
            <w:r>
              <w:rPr>
                <w:rFonts w:ascii="Times New Roman" w:hAnsi="Times New Roman" w:cs="Times New Roman"/>
                <w:sz w:val="24"/>
                <w:szCs w:val="24"/>
              </w:rPr>
              <w:t>a</w:t>
            </w:r>
            <w:r w:rsidRPr="007334AD">
              <w:rPr>
                <w:rFonts w:ascii="Times New Roman" w:hAnsi="Times New Roman" w:cs="Times New Roman"/>
                <w:sz w:val="24"/>
                <w:szCs w:val="24"/>
              </w:rPr>
              <w:t xml:space="preserve"> nepieciešamību norādīja arī Tieslietu padome ziņojumā </w:t>
            </w:r>
            <w:r w:rsidRPr="007334AD">
              <w:rPr>
                <w:rFonts w:ascii="Times New Roman" w:hAnsi="Times New Roman" w:cs="Times New Roman"/>
                <w:i/>
                <w:sz w:val="24"/>
                <w:szCs w:val="24"/>
              </w:rPr>
              <w:t>Par Tieslietu padomes ziņojumu par ilgo tiesvedību cēloņiem civillietās, krimināllietās un administratīvajās lietās</w:t>
            </w:r>
            <w:r>
              <w:rPr>
                <w:rFonts w:ascii="Times New Roman" w:hAnsi="Times New Roman" w:cs="Times New Roman"/>
                <w:i/>
                <w:sz w:val="24"/>
                <w:szCs w:val="24"/>
              </w:rPr>
              <w:t>,</w:t>
            </w:r>
            <w:r w:rsidRPr="007334AD">
              <w:rPr>
                <w:rFonts w:ascii="Times New Roman" w:hAnsi="Times New Roman" w:cs="Times New Roman"/>
                <w:iCs/>
                <w:sz w:val="24"/>
                <w:szCs w:val="24"/>
              </w:rPr>
              <w:t xml:space="preserve"> norādot, ka "</w:t>
            </w:r>
            <w:r w:rsidRPr="007334AD">
              <w:rPr>
                <w:rFonts w:ascii="Times New Roman" w:hAnsi="Times New Roman" w:cs="Times New Roman"/>
                <w:sz w:val="24"/>
                <w:szCs w:val="24"/>
              </w:rPr>
              <w:t xml:space="preserve">būtu apsverami KPL grozījumi, paredzot normu, kas ierobežo laiku, kad procesa dalībnieki tiesai var pieteikt lūgumus par procesuālo darbību veikšanu – uzreiz pēc iepazīšanās ar krimināllietas materiāliem vai noteiktā termiņā pēc lietas nosūtīšanas uz tiesu". </w:t>
            </w:r>
          </w:p>
          <w:p w14:paraId="570AB1C5" w14:textId="77777777" w:rsidR="000F5E4B" w:rsidRPr="007334AD" w:rsidRDefault="000F5E4B" w:rsidP="000F5E4B">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Arī Revīzijas ziņojumā viens no Valsts kontroles ieteikumiem ir </w:t>
            </w:r>
            <w:r w:rsidRPr="007334AD">
              <w:rPr>
                <w:rFonts w:ascii="Times New Roman" w:hAnsi="Times New Roman" w:cs="Times New Roman"/>
                <w:i/>
                <w:iCs/>
                <w:sz w:val="24"/>
                <w:szCs w:val="24"/>
              </w:rPr>
              <w:t xml:space="preserve">noteikt prokuroram, apsūdzētajam un viņa aizstāvim, cietušajam pienākumu noteiktu laiku pirms tiesas sēdes iesniegt tiesā lūgumus un pieteikumus </w:t>
            </w:r>
            <w:proofErr w:type="spellStart"/>
            <w:r w:rsidRPr="007334AD">
              <w:rPr>
                <w:rFonts w:ascii="Times New Roman" w:hAnsi="Times New Roman" w:cs="Times New Roman"/>
                <w:i/>
                <w:iCs/>
                <w:sz w:val="24"/>
                <w:szCs w:val="24"/>
              </w:rPr>
              <w:t>rakstveidā</w:t>
            </w:r>
            <w:proofErr w:type="spellEnd"/>
            <w:r w:rsidRPr="007334AD">
              <w:rPr>
                <w:rFonts w:ascii="Times New Roman" w:hAnsi="Times New Roman" w:cs="Times New Roman"/>
                <w:i/>
                <w:iCs/>
                <w:sz w:val="24"/>
                <w:szCs w:val="24"/>
              </w:rPr>
              <w:t>, un pienākumu pieteikuma un lūguma iesniedzējam pamatot to, kādēļ nebija iespējams iesniegt pirms tiesas sēdes, ja tas tiek iesniegts tiesas sēdes laikā</w:t>
            </w:r>
            <w:r w:rsidRPr="007334AD">
              <w:rPr>
                <w:rFonts w:ascii="Times New Roman" w:hAnsi="Times New Roman" w:cs="Times New Roman"/>
                <w:sz w:val="24"/>
                <w:szCs w:val="24"/>
              </w:rPr>
              <w:t>. Revīzijas ziņojumā norādīts, ka "</w:t>
            </w:r>
            <w:proofErr w:type="spellStart"/>
            <w:r w:rsidRPr="007334AD">
              <w:rPr>
                <w:rFonts w:ascii="Times New Roman" w:hAnsi="Times New Roman" w:cs="Times New Roman"/>
                <w:sz w:val="24"/>
                <w:szCs w:val="24"/>
              </w:rPr>
              <w:t>rakstveidā</w:t>
            </w:r>
            <w:proofErr w:type="spellEnd"/>
            <w:r w:rsidRPr="007334AD">
              <w:rPr>
                <w:rFonts w:ascii="Times New Roman" w:hAnsi="Times New Roman" w:cs="Times New Roman"/>
                <w:sz w:val="24"/>
                <w:szCs w:val="24"/>
              </w:rPr>
              <w:t xml:space="preserve"> varētu informēt apsūdzēto, aizstāvi, prokuroru par tiesā līdz tiesas sēdei saņemtiem pieteikumiem, lūgumiem, lai tie savlaicīgi iepazītos un varētu sagatavot viedokli attiecībā uz tiem lūgumiem un pieteikumiem, par kuriem noskaidrojams viņu viedoklis. Daļa tiesnešu intervijās atzina, ka lūgumu un pieteikumu savlaicīga saņemšana pirms tiesas sēdes atvieglotu to ātrāku izlemšanu. Valsts kontroles ieskatā viens no šādi risināmiem jautājumiem ir izvērtēt iespēju paredzēt KPL, ka noteiktu laiku pirms tiesas sēdes lūgumi un pieteikumi ir piesakāmi </w:t>
            </w:r>
            <w:proofErr w:type="spellStart"/>
            <w:r w:rsidRPr="007334AD">
              <w:rPr>
                <w:rFonts w:ascii="Times New Roman" w:hAnsi="Times New Roman" w:cs="Times New Roman"/>
                <w:sz w:val="24"/>
                <w:szCs w:val="24"/>
              </w:rPr>
              <w:t>rakstveidā</w:t>
            </w:r>
            <w:proofErr w:type="spellEnd"/>
            <w:r w:rsidRPr="007334AD">
              <w:rPr>
                <w:rFonts w:ascii="Times New Roman" w:hAnsi="Times New Roman" w:cs="Times New Roman"/>
                <w:sz w:val="24"/>
                <w:szCs w:val="24"/>
              </w:rPr>
              <w:t xml:space="preserve"> un gadījumā, ja to nav iespējams izdarīt pirms tiesas sēdes, tad pieteikuma un lūguma iesniedzējam, iesniedzot to tiesas sēdes laikā, ir jāpamato, kādēļ to nebija iespējams iesniegt pirms sēdes (tādā veidā disciplinējot iesniedzējus iesniegt pirms sēdes). Tādējādi tiktu nodrošināts tas, ka tiesnesis jau pirms tiesas sēdes varētu pietiekami izsvērt pieteikumus un lūgumus, kā arī daļu no tiem izlemt, bet attiecībā uz pārējiem nodrošināt ātru izlemšanu tiesas sēdē. Turklāt šāda kārtība būtu ieviešama visā iztiesāšanas gaitā."</w:t>
            </w:r>
          </w:p>
          <w:p w14:paraId="5052C4AE" w14:textId="77777777" w:rsidR="000F5E4B" w:rsidRPr="007334AD" w:rsidRDefault="000F5E4B" w:rsidP="000F5E4B">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lastRenderedPageBreak/>
              <w:t xml:space="preserve">KPL regulējums šobrīd paredz lūgumu iesniegšanu visā iztiesāšanas procesā atbilstoši KPL 496. pantam un 504. panta pirmajai daļai. </w:t>
            </w:r>
            <w:r>
              <w:rPr>
                <w:rFonts w:ascii="Times New Roman" w:hAnsi="Times New Roman" w:cs="Times New Roman"/>
                <w:sz w:val="24"/>
                <w:szCs w:val="24"/>
              </w:rPr>
              <w:t xml:space="preserve">Tomēr minētās tiesības pēc būtības attiecas uz tādiem lūgumiem vai pieteikumiem, kurus procesa dalībnieki nevarēja pieteikt iepriekš, jo lietas iztiesāšanas gaitā ir noskaidroti jauni apstākļi vai informācija. Pretējā gadījumā, proti, ja procesa dalībnieks apzināti neiesniedz tādu lūgumu vai pieteikumu, par kura nepieciešamību jau zināja, piemēram, </w:t>
            </w:r>
            <w:proofErr w:type="spellStart"/>
            <w:r>
              <w:rPr>
                <w:rFonts w:ascii="Times New Roman" w:hAnsi="Times New Roman" w:cs="Times New Roman"/>
                <w:sz w:val="24"/>
                <w:szCs w:val="24"/>
              </w:rPr>
              <w:t>pirmstiesas</w:t>
            </w:r>
            <w:proofErr w:type="spellEnd"/>
            <w:r>
              <w:rPr>
                <w:rFonts w:ascii="Times New Roman" w:hAnsi="Times New Roman" w:cs="Times New Roman"/>
                <w:sz w:val="24"/>
                <w:szCs w:val="24"/>
              </w:rPr>
              <w:t xml:space="preserve"> procesā, un iesniedz to tikai lietas iztiesāšanas laikā, minētā rīcība ir uzskatāma par apzinātu procesa novilcināšanu. </w:t>
            </w:r>
            <w:r w:rsidRPr="007334AD">
              <w:rPr>
                <w:rFonts w:ascii="Times New Roman" w:hAnsi="Times New Roman" w:cs="Times New Roman"/>
                <w:sz w:val="24"/>
                <w:szCs w:val="24"/>
              </w:rPr>
              <w:t>Vienlaikus konstatēts, ka nepastāv regulējums, kas noteiktu personas pienākumu iesniegt pieteikumu vēl pirms iztiesāšanas uzsākšanas, gadījumā, ja persona jau zina, ka šādu pieteikumu sniegs. Kā rezultātā procesa dalībnieks gaida noteikto tiesas sēdi, kurā piesaka lūgumu, tādējādi kavējot procesu.</w:t>
            </w:r>
          </w:p>
          <w:p w14:paraId="1250398E" w14:textId="77777777" w:rsidR="000F5E4B" w:rsidRPr="007334AD" w:rsidRDefault="000F5E4B" w:rsidP="000F5E4B">
            <w:pPr>
              <w:spacing w:after="0" w:line="240" w:lineRule="auto"/>
              <w:jc w:val="both"/>
              <w:rPr>
                <w:rFonts w:ascii="Times New Roman" w:hAnsi="Times New Roman" w:cs="Times New Roman"/>
                <w:sz w:val="24"/>
                <w:szCs w:val="24"/>
              </w:rPr>
            </w:pPr>
            <w:bookmarkStart w:id="2" w:name="_Hlk78358770"/>
            <w:r w:rsidRPr="007334AD">
              <w:rPr>
                <w:rFonts w:ascii="Times New Roman" w:hAnsi="Times New Roman" w:cs="Times New Roman"/>
                <w:sz w:val="24"/>
                <w:szCs w:val="24"/>
              </w:rPr>
              <w:t xml:space="preserve">Vienlaikus norādāms, ka pienākums iesniegt iesniegumus, lūgumus un pieteikumus 10 darba dienu laikā pirms lietas iztiesāšanas </w:t>
            </w:r>
            <w:r>
              <w:rPr>
                <w:rFonts w:ascii="Times New Roman" w:hAnsi="Times New Roman" w:cs="Times New Roman"/>
                <w:sz w:val="24"/>
                <w:szCs w:val="24"/>
              </w:rPr>
              <w:t>objektīvi nav realizējams</w:t>
            </w:r>
            <w:r w:rsidRPr="007334AD">
              <w:rPr>
                <w:rFonts w:ascii="Times New Roman" w:hAnsi="Times New Roman" w:cs="Times New Roman"/>
                <w:sz w:val="24"/>
                <w:szCs w:val="24"/>
              </w:rPr>
              <w:t xml:space="preserve"> uz kriminālprocesiem paātrinātā procesa kārtībā un procesā par noziedzīgi iegūtu mantu, ņemot vērā likumā noteiktos lietas nozīmēšanas termiņus. </w:t>
            </w:r>
          </w:p>
          <w:bookmarkEnd w:id="2"/>
          <w:p w14:paraId="0546410D" w14:textId="7CE349EC" w:rsidR="000F5E4B" w:rsidRDefault="000F5E4B" w:rsidP="000F5E4B">
            <w:pPr>
              <w:spacing w:after="0" w:line="240" w:lineRule="auto"/>
              <w:jc w:val="both"/>
              <w:rPr>
                <w:rFonts w:ascii="Times New Roman" w:hAnsi="Times New Roman" w:cs="Times New Roman"/>
                <w:i/>
                <w:iCs/>
                <w:sz w:val="24"/>
                <w:szCs w:val="24"/>
                <w:shd w:val="clear" w:color="auto" w:fill="FFFFFF"/>
              </w:rPr>
            </w:pPr>
            <w:r w:rsidRPr="00DA4ADA">
              <w:rPr>
                <w:rFonts w:ascii="Times New Roman" w:hAnsi="Times New Roman" w:cs="Times New Roman"/>
                <w:sz w:val="24"/>
                <w:szCs w:val="24"/>
                <w:bdr w:val="none" w:sz="0" w:space="0" w:color="auto" w:frame="1"/>
              </w:rPr>
              <w:t>Grozījumi</w:t>
            </w:r>
            <w:r w:rsidRPr="00DA4ADA">
              <w:rPr>
                <w:rFonts w:ascii="Times New Roman" w:hAnsi="Times New Roman" w:cs="Times New Roman"/>
                <w:b/>
                <w:bCs/>
                <w:sz w:val="24"/>
                <w:szCs w:val="24"/>
                <w:bdr w:val="none" w:sz="0" w:space="0" w:color="auto" w:frame="1"/>
              </w:rPr>
              <w:t xml:space="preserve"> KPL 392., 392.</w:t>
            </w:r>
            <w:r w:rsidRPr="00DA4ADA">
              <w:rPr>
                <w:rFonts w:ascii="Times New Roman" w:hAnsi="Times New Roman" w:cs="Times New Roman"/>
                <w:b/>
                <w:bCs/>
                <w:sz w:val="24"/>
                <w:szCs w:val="24"/>
                <w:bdr w:val="none" w:sz="0" w:space="0" w:color="auto" w:frame="1"/>
                <w:vertAlign w:val="superscript"/>
              </w:rPr>
              <w:t>1</w:t>
            </w:r>
            <w:r w:rsidRPr="00DA4ADA">
              <w:rPr>
                <w:rFonts w:ascii="Times New Roman" w:hAnsi="Times New Roman" w:cs="Times New Roman"/>
                <w:b/>
                <w:bCs/>
                <w:sz w:val="24"/>
                <w:szCs w:val="24"/>
                <w:bdr w:val="none" w:sz="0" w:space="0" w:color="auto" w:frame="1"/>
              </w:rPr>
              <w:t xml:space="preserve"> un 400. pantā</w:t>
            </w:r>
            <w:r w:rsidRPr="00DA4ADA">
              <w:rPr>
                <w:rFonts w:ascii="Times New Roman" w:hAnsi="Times New Roman" w:cs="Times New Roman"/>
                <w:sz w:val="24"/>
                <w:szCs w:val="24"/>
                <w:bdr w:val="none" w:sz="0" w:space="0" w:color="auto" w:frame="1"/>
              </w:rPr>
              <w:t xml:space="preserve"> </w:t>
            </w:r>
            <w:r w:rsidRPr="00DA4ADA">
              <w:rPr>
                <w:rFonts w:ascii="Times New Roman" w:hAnsi="Times New Roman" w:cs="Times New Roman"/>
                <w:b/>
                <w:bCs/>
                <w:sz w:val="24"/>
                <w:szCs w:val="24"/>
                <w:bdr w:val="none" w:sz="0" w:space="0" w:color="auto" w:frame="1"/>
              </w:rPr>
              <w:t>un pārejas noteikumu 80. punktā</w:t>
            </w:r>
            <w:r w:rsidRPr="00DA4ADA">
              <w:rPr>
                <w:rFonts w:ascii="Times New Roman" w:hAnsi="Times New Roman" w:cs="Times New Roman"/>
                <w:sz w:val="24"/>
                <w:szCs w:val="24"/>
                <w:bdr w:val="none" w:sz="0" w:space="0" w:color="auto" w:frame="1"/>
              </w:rPr>
              <w:t xml:space="preserve"> ir vērsti uz jauna kriminālprocesa izbeigšanas pamata noteikšanu. Šobrīd atbilstoši KPL 400.panta pirmajai daļai, ja</w:t>
            </w:r>
            <w:r w:rsidRPr="00DA4ADA">
              <w:rPr>
                <w:rFonts w:ascii="Times New Roman" w:hAnsi="Times New Roman" w:cs="Times New Roman"/>
                <w:sz w:val="24"/>
                <w:szCs w:val="24"/>
                <w:shd w:val="clear" w:color="auto" w:fill="FFFFFF"/>
              </w:rPr>
              <w:t xml:space="preserve"> kriminālprocesā ir veiktas nepieciešamās kriminālprocesuālās darbības un nav izdevies noskaidrot noziedzīgu nodarījumu izdarījušo personu, izmeklētājs ar uzraugošā prokurora piekrišanu var pieņemt lēmumu rezolūcijas veidā par kriminālprocesa apturēšanu. Vienlaikus eksperti norādīja, ka šāds regulējums nav efektīvs, proti tādējādi veidojas liels lietu uzkrājums, kur</w:t>
            </w:r>
            <w:r w:rsidR="00AB2173">
              <w:rPr>
                <w:rFonts w:ascii="Times New Roman" w:hAnsi="Times New Roman" w:cs="Times New Roman"/>
                <w:sz w:val="24"/>
                <w:szCs w:val="24"/>
                <w:shd w:val="clear" w:color="auto" w:fill="FFFFFF"/>
              </w:rPr>
              <w:t>a</w:t>
            </w:r>
            <w:r w:rsidRPr="00DA4ADA">
              <w:rPr>
                <w:rFonts w:ascii="Times New Roman" w:hAnsi="Times New Roman" w:cs="Times New Roman"/>
                <w:sz w:val="24"/>
                <w:szCs w:val="24"/>
                <w:shd w:val="clear" w:color="auto" w:fill="FFFFFF"/>
              </w:rPr>
              <w:t xml:space="preserve">s </w:t>
            </w:r>
            <w:r w:rsidR="00AB2173">
              <w:rPr>
                <w:rFonts w:ascii="Times New Roman" w:hAnsi="Times New Roman" w:cs="Times New Roman"/>
                <w:sz w:val="24"/>
                <w:szCs w:val="24"/>
                <w:shd w:val="clear" w:color="auto" w:fill="FFFFFF"/>
              </w:rPr>
              <w:t>iespējams izbeigt tikai</w:t>
            </w:r>
            <w:r w:rsidRPr="00DA4ADA">
              <w:rPr>
                <w:rFonts w:ascii="Times New Roman" w:hAnsi="Times New Roman" w:cs="Times New Roman"/>
                <w:sz w:val="24"/>
                <w:szCs w:val="24"/>
                <w:shd w:val="clear" w:color="auto" w:fill="FFFFFF"/>
              </w:rPr>
              <w:t>, kad</w:t>
            </w:r>
            <w:r w:rsidR="00684F23">
              <w:rPr>
                <w:rFonts w:ascii="Times New Roman" w:hAnsi="Times New Roman" w:cs="Times New Roman"/>
                <w:sz w:val="24"/>
                <w:szCs w:val="24"/>
                <w:shd w:val="clear" w:color="auto" w:fill="FFFFFF"/>
              </w:rPr>
              <w:t xml:space="preserve"> ir</w:t>
            </w:r>
            <w:r w:rsidRPr="00DA4ADA">
              <w:rPr>
                <w:rFonts w:ascii="Times New Roman" w:hAnsi="Times New Roman" w:cs="Times New Roman"/>
                <w:sz w:val="24"/>
                <w:szCs w:val="24"/>
                <w:shd w:val="clear" w:color="auto" w:fill="FFFFFF"/>
              </w:rPr>
              <w:t xml:space="preserve"> iestājas noilgums. Arī Valsts kontroles revīzijas ziņojumā norādīts, ka </w:t>
            </w:r>
            <w:r w:rsidRPr="00DA4ADA">
              <w:rPr>
                <w:rFonts w:ascii="Times New Roman" w:hAnsi="Times New Roman" w:cs="Times New Roman"/>
                <w:i/>
                <w:iCs/>
                <w:sz w:val="24"/>
                <w:szCs w:val="24"/>
              </w:rPr>
              <w:t xml:space="preserve">iespējams, ar KPL šobrīd paredzētajiem risinājumiem, kad kriminālprocesu var izbeigt vai apturēt, nav pietiekami gadījumos, kad jau </w:t>
            </w:r>
            <w:proofErr w:type="spellStart"/>
            <w:r w:rsidRPr="00DA4ADA">
              <w:rPr>
                <w:rFonts w:ascii="Times New Roman" w:hAnsi="Times New Roman" w:cs="Times New Roman"/>
                <w:i/>
                <w:iCs/>
                <w:sz w:val="24"/>
                <w:szCs w:val="24"/>
              </w:rPr>
              <w:t>pirmstiesas</w:t>
            </w:r>
            <w:proofErr w:type="spellEnd"/>
            <w:r w:rsidRPr="00DA4ADA">
              <w:rPr>
                <w:rFonts w:ascii="Times New Roman" w:hAnsi="Times New Roman" w:cs="Times New Roman"/>
                <w:i/>
                <w:iCs/>
                <w:sz w:val="24"/>
                <w:szCs w:val="24"/>
              </w:rPr>
              <w:t xml:space="preserve"> izmeklēšanas sākuma posmā ir skaidrs, ka kriminālprocess nav perspektīvs (t.i., ir vien niecīga varbūtība iegūt nepieciešamos pierādījumus un ir niecīga varbūtība noskaidrot un atzīt personu par aizdomās turēto) un izmeklēšana nav lietderīga un samērīga. Arī revīzijā piesaistītie eksperti saskata pamatu diskusijām par iespējām pilnveidot normatīvo regulējumu</w:t>
            </w:r>
            <w:r w:rsidRPr="00DA4ADA">
              <w:rPr>
                <w:rFonts w:ascii="Times New Roman" w:hAnsi="Times New Roman" w:cs="Times New Roman"/>
                <w:i/>
                <w:iCs/>
                <w:sz w:val="24"/>
                <w:szCs w:val="24"/>
                <w:shd w:val="clear" w:color="auto" w:fill="FFFFFF"/>
              </w:rPr>
              <w:t xml:space="preserve">. </w:t>
            </w:r>
          </w:p>
          <w:p w14:paraId="69CB6DCD" w14:textId="66558034" w:rsidR="00F84343" w:rsidRPr="00F84343" w:rsidRDefault="00F84343" w:rsidP="000F5E4B">
            <w:pPr>
              <w:spacing w:after="0" w:line="240" w:lineRule="auto"/>
              <w:jc w:val="both"/>
              <w:rPr>
                <w:rFonts w:ascii="Times New Roman" w:hAnsi="Times New Roman" w:cs="Times New Roman"/>
                <w:sz w:val="24"/>
                <w:szCs w:val="24"/>
                <w:shd w:val="clear" w:color="auto" w:fill="FFFFFF"/>
              </w:rPr>
            </w:pPr>
            <w:r w:rsidRPr="00F84343">
              <w:rPr>
                <w:rFonts w:ascii="Times New Roman" w:hAnsi="Times New Roman" w:cs="Times New Roman"/>
                <w:sz w:val="24"/>
                <w:szCs w:val="24"/>
                <w:shd w:val="clear" w:color="auto" w:fill="FFFFFF"/>
              </w:rPr>
              <w:t>Norādām</w:t>
            </w:r>
            <w:r>
              <w:rPr>
                <w:rFonts w:ascii="Times New Roman" w:hAnsi="Times New Roman" w:cs="Times New Roman"/>
                <w:sz w:val="24"/>
                <w:szCs w:val="24"/>
                <w:shd w:val="clear" w:color="auto" w:fill="FFFFFF"/>
              </w:rPr>
              <w:t>s</w:t>
            </w:r>
            <w:r w:rsidRPr="00F8434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w:t>
            </w:r>
            <w:r w:rsidRPr="00F84343">
              <w:rPr>
                <w:rFonts w:ascii="Times New Roman" w:hAnsi="Times New Roman" w:cs="Times New Roman"/>
                <w:sz w:val="24"/>
                <w:szCs w:val="24"/>
                <w:shd w:val="clear" w:color="auto" w:fill="FFFFFF"/>
              </w:rPr>
              <w:t>a jau šobrīd atbilstoši KPL 392. panta 2.</w:t>
            </w:r>
            <w:r w:rsidRPr="00F84343">
              <w:rPr>
                <w:rFonts w:ascii="Times New Roman" w:hAnsi="Times New Roman" w:cs="Times New Roman"/>
                <w:sz w:val="24"/>
                <w:szCs w:val="24"/>
                <w:shd w:val="clear" w:color="auto" w:fill="FFFFFF"/>
                <w:vertAlign w:val="superscript"/>
              </w:rPr>
              <w:t>1</w:t>
            </w:r>
            <w:r w:rsidRPr="00F84343">
              <w:rPr>
                <w:rFonts w:ascii="Times New Roman" w:hAnsi="Times New Roman" w:cs="Times New Roman"/>
                <w:sz w:val="24"/>
                <w:szCs w:val="24"/>
                <w:shd w:val="clear" w:color="auto" w:fill="FFFFFF"/>
              </w:rPr>
              <w:t> daļai izmeklētājs ar uzraugošā prokurora piekrišanu var izbeigt kriminālprocesu par maznozīmīgu noziedzīgu nodarījumu, ja nav izdevies noskaidrot to izdarījušo personu</w:t>
            </w:r>
            <w:r>
              <w:rPr>
                <w:rFonts w:ascii="Times New Roman" w:hAnsi="Times New Roman" w:cs="Times New Roman"/>
                <w:sz w:val="24"/>
                <w:szCs w:val="24"/>
                <w:shd w:val="clear" w:color="auto" w:fill="FFFFFF"/>
              </w:rPr>
              <w:t xml:space="preserve">, savukārt </w:t>
            </w:r>
            <w:r w:rsidRPr="00F84343">
              <w:rPr>
                <w:rFonts w:ascii="Times New Roman" w:hAnsi="Times New Roman" w:cs="Times New Roman"/>
                <w:sz w:val="24"/>
                <w:szCs w:val="24"/>
                <w:shd w:val="clear" w:color="auto" w:fill="FFFFFF"/>
              </w:rPr>
              <w:t>atbilstoši šā likuma 379.</w:t>
            </w:r>
            <w:r>
              <w:rPr>
                <w:rFonts w:ascii="Times New Roman" w:hAnsi="Times New Roman" w:cs="Times New Roman"/>
                <w:sz w:val="24"/>
                <w:szCs w:val="24"/>
                <w:shd w:val="clear" w:color="auto" w:fill="FFFFFF"/>
              </w:rPr>
              <w:t> </w:t>
            </w:r>
            <w:r w:rsidRPr="00F84343">
              <w:rPr>
                <w:rFonts w:ascii="Times New Roman" w:hAnsi="Times New Roman" w:cs="Times New Roman"/>
                <w:sz w:val="24"/>
                <w:szCs w:val="24"/>
                <w:shd w:val="clear" w:color="auto" w:fill="FFFFFF"/>
              </w:rPr>
              <w:t>pantam i</w:t>
            </w:r>
            <w:r w:rsidRPr="00F84343">
              <w:rPr>
                <w:rFonts w:ascii="Times New Roman" w:eastAsia="Times New Roman" w:hAnsi="Times New Roman" w:cs="Times New Roman"/>
                <w:sz w:val="24"/>
                <w:szCs w:val="24"/>
              </w:rPr>
              <w:t xml:space="preserve">zmeklētājs ar uzraugošā prokurora piekrišanu, prokurors vai tiesa var izbeigt kriminālprocesu, ja izdarīts maznozīmīgs noziedzīgs </w:t>
            </w:r>
            <w:r w:rsidRPr="00F84343">
              <w:rPr>
                <w:rFonts w:ascii="Times New Roman" w:eastAsia="Times New Roman" w:hAnsi="Times New Roman" w:cs="Times New Roman"/>
                <w:sz w:val="24"/>
                <w:szCs w:val="24"/>
              </w:rPr>
              <w:lastRenderedPageBreak/>
              <w:t xml:space="preserve">nodarījums. </w:t>
            </w:r>
            <w:r>
              <w:rPr>
                <w:rFonts w:ascii="Times New Roman" w:eastAsia="Times New Roman" w:hAnsi="Times New Roman" w:cs="Times New Roman"/>
                <w:sz w:val="24"/>
                <w:szCs w:val="24"/>
              </w:rPr>
              <w:t xml:space="preserve">Tādējādi gadījumā, ja ir izdarīts maznozīmīgs noziedzīgs nodarījums kriminālprocesu var izbeigt neatkarīgi no veiktajām procesuālajām darbībām un to, vai ir noskaidrota noziedzīgo nodarījumu izdarījusī persona. Savukārt jauno </w:t>
            </w:r>
            <w:r w:rsidRPr="00F84343">
              <w:rPr>
                <w:rFonts w:ascii="Times New Roman" w:hAnsi="Times New Roman" w:cs="Times New Roman"/>
                <w:sz w:val="24"/>
                <w:szCs w:val="24"/>
                <w:shd w:val="clear" w:color="auto" w:fill="FFFFFF"/>
              </w:rPr>
              <w:t>KPL 392. panta 2.</w:t>
            </w:r>
            <w:r w:rsidRPr="00F84343">
              <w:rPr>
                <w:rFonts w:ascii="Times New Roman" w:hAnsi="Times New Roman" w:cs="Times New Roman"/>
                <w:sz w:val="24"/>
                <w:szCs w:val="24"/>
                <w:shd w:val="clear" w:color="auto" w:fill="FFFFFF"/>
                <w:vertAlign w:val="superscript"/>
              </w:rPr>
              <w:t>1</w:t>
            </w:r>
            <w:r w:rsidRPr="00F84343">
              <w:rPr>
                <w:rFonts w:ascii="Times New Roman" w:hAnsi="Times New Roman" w:cs="Times New Roman"/>
                <w:sz w:val="24"/>
                <w:szCs w:val="24"/>
                <w:shd w:val="clear" w:color="auto" w:fill="FFFFFF"/>
              </w:rPr>
              <w:t> daļ</w:t>
            </w:r>
            <w:r>
              <w:rPr>
                <w:rFonts w:ascii="Times New Roman" w:hAnsi="Times New Roman" w:cs="Times New Roman"/>
                <w:sz w:val="24"/>
                <w:szCs w:val="24"/>
                <w:shd w:val="clear" w:color="auto" w:fill="FFFFFF"/>
              </w:rPr>
              <w:t xml:space="preserve">u varēs piemērot tikai gadījumos, </w:t>
            </w:r>
            <w:r w:rsidRPr="00F84343">
              <w:rPr>
                <w:rFonts w:ascii="Times New Roman" w:hAnsi="Times New Roman" w:cs="Times New Roman"/>
                <w:sz w:val="24"/>
                <w:szCs w:val="24"/>
                <w:u w:val="single"/>
                <w:shd w:val="clear" w:color="auto" w:fill="FFFFFF"/>
              </w:rPr>
              <w:t>ja būs veiktas nepieciešamās kriminālprocesuālās darbības un n</w:t>
            </w:r>
            <w:r>
              <w:rPr>
                <w:rFonts w:ascii="Times New Roman" w:hAnsi="Times New Roman" w:cs="Times New Roman"/>
                <w:sz w:val="24"/>
                <w:szCs w:val="24"/>
                <w:u w:val="single"/>
                <w:shd w:val="clear" w:color="auto" w:fill="FFFFFF"/>
              </w:rPr>
              <w:t>ebūs</w:t>
            </w:r>
            <w:r w:rsidRPr="00F84343">
              <w:rPr>
                <w:rFonts w:ascii="Times New Roman" w:hAnsi="Times New Roman" w:cs="Times New Roman"/>
                <w:sz w:val="24"/>
                <w:szCs w:val="24"/>
                <w:u w:val="single"/>
                <w:shd w:val="clear" w:color="auto" w:fill="FFFFFF"/>
              </w:rPr>
              <w:t xml:space="preserve"> izdevies noskaidrot noziedzīgu nodarījumu izdarījušo personu</w:t>
            </w:r>
            <w:r>
              <w:rPr>
                <w:rFonts w:ascii="Times New Roman" w:hAnsi="Times New Roman" w:cs="Times New Roman"/>
                <w:sz w:val="24"/>
                <w:szCs w:val="24"/>
                <w:u w:val="single"/>
                <w:shd w:val="clear" w:color="auto" w:fill="FFFFFF"/>
              </w:rPr>
              <w:t xml:space="preserve">. </w:t>
            </w:r>
          </w:p>
          <w:p w14:paraId="733A485E" w14:textId="77777777" w:rsidR="000F5E4B" w:rsidRPr="007334AD" w:rsidRDefault="000F5E4B" w:rsidP="000D1C81">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shd w:val="clear" w:color="auto" w:fill="FFFFFF"/>
              </w:rPr>
              <w:t xml:space="preserve">Grozījums </w:t>
            </w:r>
            <w:r w:rsidRPr="007334AD">
              <w:rPr>
                <w:rFonts w:ascii="Times New Roman" w:hAnsi="Times New Roman" w:cs="Times New Roman"/>
                <w:b/>
                <w:bCs/>
                <w:sz w:val="24"/>
                <w:szCs w:val="24"/>
                <w:shd w:val="clear" w:color="auto" w:fill="FFFFFF"/>
              </w:rPr>
              <w:t xml:space="preserve">KPL </w:t>
            </w:r>
            <w:r w:rsidRPr="007334AD">
              <w:rPr>
                <w:rFonts w:ascii="Times New Roman" w:hAnsi="Times New Roman" w:cs="Times New Roman"/>
                <w:b/>
                <w:bCs/>
                <w:sz w:val="24"/>
                <w:szCs w:val="24"/>
                <w:bdr w:val="none" w:sz="0" w:space="0" w:color="auto" w:frame="1"/>
                <w:shd w:val="clear" w:color="auto" w:fill="FFFFFF"/>
              </w:rPr>
              <w:t>392. panta 1.</w:t>
            </w:r>
            <w:r w:rsidRPr="007334AD">
              <w:rPr>
                <w:rFonts w:ascii="Times New Roman" w:hAnsi="Times New Roman" w:cs="Times New Roman"/>
                <w:b/>
                <w:bCs/>
                <w:sz w:val="24"/>
                <w:szCs w:val="24"/>
                <w:bdr w:val="none" w:sz="0" w:space="0" w:color="auto" w:frame="1"/>
                <w:shd w:val="clear" w:color="auto" w:fill="FFFFFF"/>
                <w:vertAlign w:val="superscript"/>
              </w:rPr>
              <w:t>1 </w:t>
            </w:r>
            <w:r w:rsidRPr="007334AD">
              <w:rPr>
                <w:rFonts w:ascii="Times New Roman" w:hAnsi="Times New Roman" w:cs="Times New Roman"/>
                <w:b/>
                <w:bCs/>
                <w:sz w:val="24"/>
                <w:szCs w:val="24"/>
                <w:bdr w:val="none" w:sz="0" w:space="0" w:color="auto" w:frame="1"/>
                <w:shd w:val="clear" w:color="auto" w:fill="FFFFFF"/>
              </w:rPr>
              <w:t>daļā</w:t>
            </w:r>
            <w:r w:rsidRPr="007334AD">
              <w:rPr>
                <w:rFonts w:ascii="Times New Roman" w:hAnsi="Times New Roman" w:cs="Times New Roman"/>
                <w:sz w:val="24"/>
                <w:szCs w:val="24"/>
                <w:shd w:val="clear" w:color="auto" w:fill="FFFFFF"/>
              </w:rPr>
              <w:t xml:space="preserve"> paredz gadījumos, kad </w:t>
            </w:r>
            <w:r w:rsidRPr="007334AD">
              <w:rPr>
                <w:rFonts w:ascii="Times New Roman" w:hAnsi="Times New Roman" w:cs="Times New Roman"/>
                <w:sz w:val="24"/>
                <w:szCs w:val="24"/>
              </w:rPr>
              <w:t xml:space="preserve">kriminālprocesā ir veiktas </w:t>
            </w:r>
            <w:r w:rsidRPr="007334AD">
              <w:rPr>
                <w:rFonts w:ascii="Times New Roman" w:hAnsi="Times New Roman" w:cs="Times New Roman"/>
                <w:sz w:val="24"/>
                <w:szCs w:val="24"/>
                <w:u w:val="single"/>
              </w:rPr>
              <w:t>nepieciešamās kriminālprocesuālās darbības un nav izdevies noskaidrot noziedzīgu nodarījumu izdarījušo personu</w:t>
            </w:r>
            <w:r>
              <w:rPr>
                <w:rFonts w:ascii="Times New Roman" w:hAnsi="Times New Roman" w:cs="Times New Roman"/>
                <w:sz w:val="24"/>
                <w:szCs w:val="24"/>
                <w:u w:val="single"/>
              </w:rPr>
              <w:t>,</w:t>
            </w:r>
            <w:r w:rsidRPr="007334AD">
              <w:rPr>
                <w:rFonts w:ascii="Times New Roman" w:hAnsi="Times New Roman" w:cs="Times New Roman"/>
                <w:sz w:val="24"/>
                <w:szCs w:val="24"/>
              </w:rPr>
              <w:t xml:space="preserve"> noteikt tiesības izmeklētājam ar uzraugošā prokurora piekrišanu izbeigt kriminālprocesu, attiecīgi </w:t>
            </w:r>
            <w:r w:rsidRPr="007334AD">
              <w:rPr>
                <w:rFonts w:ascii="Times New Roman" w:hAnsi="Times New Roman" w:cs="Times New Roman"/>
                <w:b/>
                <w:bCs/>
                <w:sz w:val="24"/>
                <w:szCs w:val="24"/>
              </w:rPr>
              <w:t>svītrojot KPL 400. pantu</w:t>
            </w:r>
            <w:r w:rsidRPr="007334AD">
              <w:rPr>
                <w:rFonts w:ascii="Times New Roman" w:hAnsi="Times New Roman" w:cs="Times New Roman"/>
                <w:sz w:val="24"/>
                <w:szCs w:val="24"/>
              </w:rPr>
              <w:t>. Proti, turpmāk minētajā situācijā kriminālprocesus varēs izbeigt</w:t>
            </w:r>
            <w:r>
              <w:rPr>
                <w:rFonts w:ascii="Times New Roman" w:hAnsi="Times New Roman" w:cs="Times New Roman"/>
                <w:sz w:val="24"/>
                <w:szCs w:val="24"/>
              </w:rPr>
              <w:t>,</w:t>
            </w:r>
            <w:r w:rsidRPr="007334AD">
              <w:rPr>
                <w:rFonts w:ascii="Times New Roman" w:hAnsi="Times New Roman" w:cs="Times New Roman"/>
                <w:sz w:val="24"/>
                <w:szCs w:val="24"/>
              </w:rPr>
              <w:t xml:space="preserve"> nevis apturēt, tādējādi neradot mākslīgu lietu uzkrājumu. Grozījums paredz noteikt uzraugošā prokurora piekrišanu, lai izbeigtu kriminālprocesu, kā arī atbilstoši KPL 337. pantam lēmums par kriminālprocesa izbeigšanu ir pārsūdzams. Vienlaikus vēršama uzmanība, ka šajos kriminālprocesos nav personas, kurai ir tiesības uz aizstāvību, proti, viens no pamatnoteikumiem, lai izbeigtu kriminālprocesu ir apstāklis, ka nav izdevies noskaidrot noziedzīgu nodarījumu izdarījušo personu. Ievērojot minēto, nav nepieciešams arī noteikt, vai kriminālprocesa izbeigšana ir reabilitējoša vai nē.</w:t>
            </w:r>
          </w:p>
          <w:p w14:paraId="4A151BA5" w14:textId="3C56F479" w:rsidR="00AB2173" w:rsidRPr="00AB2173" w:rsidRDefault="000F5E4B" w:rsidP="000D1C81">
            <w:pPr>
              <w:pStyle w:val="pf0"/>
              <w:spacing w:before="0" w:beforeAutospacing="0" w:after="0" w:afterAutospacing="0"/>
              <w:jc w:val="both"/>
              <w:rPr>
                <w:rStyle w:val="cf01"/>
                <w:rFonts w:ascii="Times New Roman" w:hAnsi="Times New Roman" w:cs="Times New Roman"/>
                <w:sz w:val="24"/>
                <w:szCs w:val="24"/>
                <w:lang w:val="lv-LV"/>
              </w:rPr>
            </w:pPr>
            <w:r w:rsidRPr="005607FC">
              <w:rPr>
                <w:lang w:val="lv-LV"/>
              </w:rPr>
              <w:t xml:space="preserve">Vienlaikus norādāms, ka kriminālprocesu varēs atjaunot, </w:t>
            </w:r>
            <w:r w:rsidRPr="005607FC">
              <w:rPr>
                <w:shd w:val="clear" w:color="auto" w:fill="FFFFFF"/>
                <w:lang w:val="lv-LV"/>
              </w:rPr>
              <w:t>atceļot lēmumu par izbeigšanu, ja konstatēts, ka tā pieņemšanai nebija likumīga pamata, vai</w:t>
            </w:r>
            <w:r w:rsidR="00684F23">
              <w:rPr>
                <w:shd w:val="clear" w:color="auto" w:fill="FFFFFF"/>
                <w:lang w:val="lv-LV"/>
              </w:rPr>
              <w:t>,</w:t>
            </w:r>
            <w:r w:rsidRPr="005607FC">
              <w:rPr>
                <w:shd w:val="clear" w:color="auto" w:fill="FFFFFF"/>
                <w:lang w:val="lv-LV"/>
              </w:rPr>
              <w:t xml:space="preserve"> ja atklāti jauni apstākļi, kuri nebija zināmi procesa virzītājam lēmuma pieņemšanas brīdī un kuriem ir būtiska nozīme lēmuma pieņemšanā </w:t>
            </w:r>
            <w:r w:rsidRPr="005607FC">
              <w:rPr>
                <w:lang w:val="lv-LV"/>
              </w:rPr>
              <w:t>atbilstoši KPL 393.panta pirmajai daļai.</w:t>
            </w:r>
            <w:r w:rsidR="000D1C81" w:rsidRPr="005607FC">
              <w:rPr>
                <w:lang w:val="lv-LV"/>
              </w:rPr>
              <w:t xml:space="preserve"> Proti, </w:t>
            </w:r>
            <w:r w:rsidR="000D1C81" w:rsidRPr="005607FC">
              <w:rPr>
                <w:rStyle w:val="cf01"/>
                <w:rFonts w:ascii="Times New Roman" w:hAnsi="Times New Roman" w:cs="Times New Roman"/>
                <w:sz w:val="24"/>
                <w:szCs w:val="24"/>
                <w:lang w:val="lv-LV"/>
              </w:rPr>
              <w:t>gadījumos,</w:t>
            </w:r>
            <w:r w:rsidR="00684F23">
              <w:rPr>
                <w:rStyle w:val="cf01"/>
                <w:rFonts w:ascii="Times New Roman" w:hAnsi="Times New Roman" w:cs="Times New Roman"/>
                <w:sz w:val="24"/>
                <w:szCs w:val="24"/>
                <w:lang w:val="lv-LV"/>
              </w:rPr>
              <w:t xml:space="preserve"> arī,</w:t>
            </w:r>
            <w:r w:rsidR="000D1C81" w:rsidRPr="005607FC">
              <w:rPr>
                <w:rStyle w:val="cf01"/>
                <w:rFonts w:ascii="Times New Roman" w:hAnsi="Times New Roman" w:cs="Times New Roman"/>
                <w:sz w:val="24"/>
                <w:szCs w:val="24"/>
                <w:lang w:val="lv-LV"/>
              </w:rPr>
              <w:t xml:space="preserve"> ja pēc</w:t>
            </w:r>
            <w:r w:rsidR="000D1C81" w:rsidRPr="00AB2173">
              <w:rPr>
                <w:rStyle w:val="cf01"/>
                <w:rFonts w:ascii="Times New Roman" w:hAnsi="Times New Roman" w:cs="Times New Roman"/>
                <w:sz w:val="24"/>
                <w:szCs w:val="24"/>
                <w:lang w:val="lv-LV"/>
              </w:rPr>
              <w:t xml:space="preserve"> kriminālprocesa izbeigšanas tiks noskaidroti apstākļi, kas norāda uz noziedzīgo nodarījumu izdarījušo personu, kriminālprocesu varēs atjaunot.</w:t>
            </w:r>
          </w:p>
          <w:p w14:paraId="2D378173" w14:textId="16536ABC" w:rsidR="000F5E4B" w:rsidRDefault="000F5E4B" w:rsidP="000D1C81">
            <w:pPr>
              <w:pStyle w:val="pf0"/>
              <w:spacing w:before="0" w:beforeAutospacing="0" w:after="0" w:afterAutospacing="0"/>
              <w:jc w:val="both"/>
              <w:rPr>
                <w:u w:val="single"/>
                <w:bdr w:val="none" w:sz="0" w:space="0" w:color="auto" w:frame="1"/>
                <w:shd w:val="clear" w:color="auto" w:fill="FFFFFF"/>
                <w:lang w:val="lv-LV"/>
              </w:rPr>
            </w:pPr>
            <w:r w:rsidRPr="005607FC">
              <w:rPr>
                <w:lang w:val="lv-LV"/>
              </w:rPr>
              <w:t>Grozījums</w:t>
            </w:r>
            <w:r w:rsidRPr="005607FC">
              <w:rPr>
                <w:b/>
                <w:bCs/>
                <w:lang w:val="lv-LV"/>
              </w:rPr>
              <w:t xml:space="preserve"> KPL 392.</w:t>
            </w:r>
            <w:r w:rsidRPr="005607FC">
              <w:rPr>
                <w:b/>
                <w:bCs/>
                <w:vertAlign w:val="superscript"/>
                <w:lang w:val="lv-LV"/>
              </w:rPr>
              <w:t>1</w:t>
            </w:r>
            <w:r w:rsidRPr="005607FC">
              <w:rPr>
                <w:b/>
                <w:bCs/>
                <w:lang w:val="lv-LV"/>
              </w:rPr>
              <w:t xml:space="preserve"> panta 4.</w:t>
            </w:r>
            <w:r w:rsidRPr="005607FC">
              <w:rPr>
                <w:b/>
                <w:bCs/>
                <w:vertAlign w:val="superscript"/>
                <w:lang w:val="lv-LV"/>
              </w:rPr>
              <w:t>3</w:t>
            </w:r>
            <w:r w:rsidRPr="005607FC">
              <w:rPr>
                <w:b/>
                <w:bCs/>
                <w:lang w:val="lv-LV"/>
              </w:rPr>
              <w:t xml:space="preserve"> daļā</w:t>
            </w:r>
            <w:r w:rsidRPr="005607FC">
              <w:rPr>
                <w:lang w:val="lv-LV"/>
              </w:rPr>
              <w:t xml:space="preserve"> paredz, ka procesa virzītājam, pieņemot lēmumu par kriminālprocesa izbeigšanu KPL </w:t>
            </w:r>
            <w:r w:rsidRPr="005607FC">
              <w:rPr>
                <w:bdr w:val="none" w:sz="0" w:space="0" w:color="auto" w:frame="1"/>
                <w:shd w:val="clear" w:color="auto" w:fill="FFFFFF"/>
                <w:lang w:val="lv-LV"/>
              </w:rPr>
              <w:t>392. panta 1.</w:t>
            </w:r>
            <w:r w:rsidRPr="005607FC">
              <w:rPr>
                <w:bdr w:val="none" w:sz="0" w:space="0" w:color="auto" w:frame="1"/>
                <w:shd w:val="clear" w:color="auto" w:fill="FFFFFF"/>
                <w:vertAlign w:val="superscript"/>
                <w:lang w:val="lv-LV"/>
              </w:rPr>
              <w:t>1 </w:t>
            </w:r>
            <w:r w:rsidRPr="005607FC">
              <w:rPr>
                <w:bdr w:val="none" w:sz="0" w:space="0" w:color="auto" w:frame="1"/>
                <w:shd w:val="clear" w:color="auto" w:fill="FFFFFF"/>
                <w:lang w:val="lv-LV"/>
              </w:rPr>
              <w:t xml:space="preserve">daļas kārtībā, ir pienākums vienlaikus pieņemt lēmumu par rīcību ar lietiskajiem pierādījumiem, dokumentiem un citiem izņemtajiem priekšmetiem un vērtībām, proti, izvērtēt, kurus lietiskos pierādījumus, dokumentus un citus izņemtos priekšmetus un vērtības ir lietderīgi glabāt līdz kriminālatbildības noilguma iestāšanās brīdim, lai nodrošinātu efektīvu procesa virzību gadījumā, ja kriminālprocess tiks atjaunots. Piemēram dokumentu viltojumi, salīdzinošie paraugi, ja ekspertīzi nebija iespējams pabeigt (nebija salīdzinošā materiāla) un tml. </w:t>
            </w:r>
            <w:r w:rsidRPr="005607FC">
              <w:rPr>
                <w:u w:val="single"/>
                <w:bdr w:val="none" w:sz="0" w:space="0" w:color="auto" w:frame="1"/>
                <w:shd w:val="clear" w:color="auto" w:fill="FFFFFF"/>
                <w:lang w:val="lv-LV"/>
              </w:rPr>
              <w:t>Vienlaikus procesa virzītājam lēmumā ir jānorāda, kāda galīgā rīcība saskaņā ar KPL 240. panta pirmās daļas 1 .punktu ir veicama pēc noilguma iestāšanās.</w:t>
            </w:r>
            <w:r w:rsidR="00F84343">
              <w:rPr>
                <w:u w:val="single"/>
                <w:bdr w:val="none" w:sz="0" w:space="0" w:color="auto" w:frame="1"/>
                <w:shd w:val="clear" w:color="auto" w:fill="FFFFFF"/>
                <w:lang w:val="lv-LV"/>
              </w:rPr>
              <w:t xml:space="preserve"> </w:t>
            </w:r>
          </w:p>
          <w:p w14:paraId="0BFEF703" w14:textId="14327015" w:rsidR="005125F6" w:rsidRPr="005125F6" w:rsidRDefault="00F84343" w:rsidP="000D1C81">
            <w:pPr>
              <w:pStyle w:val="pf0"/>
              <w:spacing w:before="0" w:beforeAutospacing="0" w:after="0" w:afterAutospacing="0"/>
              <w:jc w:val="both"/>
              <w:rPr>
                <w:bdr w:val="none" w:sz="0" w:space="0" w:color="auto" w:frame="1"/>
                <w:shd w:val="clear" w:color="auto" w:fill="FFFFFF"/>
                <w:lang w:val="lv-LV"/>
              </w:rPr>
            </w:pPr>
            <w:r w:rsidRPr="005125F6">
              <w:rPr>
                <w:bdr w:val="none" w:sz="0" w:space="0" w:color="auto" w:frame="1"/>
                <w:shd w:val="clear" w:color="auto" w:fill="FFFFFF"/>
                <w:lang w:val="lv-LV"/>
              </w:rPr>
              <w:lastRenderedPageBreak/>
              <w:t xml:space="preserve">Norādāms, ka šāda kārtība ir attiecināma tikai uz </w:t>
            </w:r>
            <w:r w:rsidR="005125F6">
              <w:rPr>
                <w:bdr w:val="none" w:sz="0" w:space="0" w:color="auto" w:frame="1"/>
                <w:shd w:val="clear" w:color="auto" w:fill="FFFFFF"/>
                <w:lang w:val="lv-LV"/>
              </w:rPr>
              <w:t xml:space="preserve">kriminālprocesiem, kas </w:t>
            </w:r>
            <w:r w:rsidR="005125F6" w:rsidRPr="005607FC">
              <w:rPr>
                <w:lang w:val="lv-LV"/>
              </w:rPr>
              <w:t>izbei</w:t>
            </w:r>
            <w:r w:rsidR="005125F6">
              <w:rPr>
                <w:lang w:val="lv-LV"/>
              </w:rPr>
              <w:t>gti</w:t>
            </w:r>
            <w:r w:rsidR="005125F6" w:rsidRPr="005607FC">
              <w:rPr>
                <w:lang w:val="lv-LV"/>
              </w:rPr>
              <w:t xml:space="preserve"> KPL </w:t>
            </w:r>
            <w:r w:rsidR="005125F6" w:rsidRPr="005607FC">
              <w:rPr>
                <w:bdr w:val="none" w:sz="0" w:space="0" w:color="auto" w:frame="1"/>
                <w:shd w:val="clear" w:color="auto" w:fill="FFFFFF"/>
                <w:lang w:val="lv-LV"/>
              </w:rPr>
              <w:t>392. panta 1.</w:t>
            </w:r>
            <w:r w:rsidR="005125F6" w:rsidRPr="005607FC">
              <w:rPr>
                <w:bdr w:val="none" w:sz="0" w:space="0" w:color="auto" w:frame="1"/>
                <w:shd w:val="clear" w:color="auto" w:fill="FFFFFF"/>
                <w:vertAlign w:val="superscript"/>
                <w:lang w:val="lv-LV"/>
              </w:rPr>
              <w:t>1 </w:t>
            </w:r>
            <w:r w:rsidR="005125F6" w:rsidRPr="005607FC">
              <w:rPr>
                <w:bdr w:val="none" w:sz="0" w:space="0" w:color="auto" w:frame="1"/>
                <w:shd w:val="clear" w:color="auto" w:fill="FFFFFF"/>
                <w:lang w:val="lv-LV"/>
              </w:rPr>
              <w:t>daļas kārtībā</w:t>
            </w:r>
            <w:r w:rsidR="005125F6">
              <w:rPr>
                <w:bdr w:val="none" w:sz="0" w:space="0" w:color="auto" w:frame="1"/>
                <w:shd w:val="clear" w:color="auto" w:fill="FFFFFF"/>
                <w:lang w:val="lv-LV"/>
              </w:rPr>
              <w:t>, ņemot vērā lielāku varbūtību šādus procesus atjaunot nekā, piemēram, izbeidzot kriminālprocesu par maznozīmīgu noziedzīgu nodarījumu.</w:t>
            </w:r>
          </w:p>
          <w:p w14:paraId="7BC37191" w14:textId="4DDE58D1" w:rsidR="000F5E4B" w:rsidRPr="00C9653E" w:rsidRDefault="000F5E4B" w:rsidP="00C9653E">
            <w:pPr>
              <w:spacing w:after="0" w:line="240" w:lineRule="auto"/>
              <w:jc w:val="both"/>
              <w:rPr>
                <w:rFonts w:ascii="Times New Roman" w:hAnsi="Times New Roman" w:cs="Times New Roman"/>
                <w:sz w:val="24"/>
                <w:szCs w:val="24"/>
                <w:bdr w:val="none" w:sz="0" w:space="0" w:color="auto" w:frame="1"/>
              </w:rPr>
            </w:pPr>
            <w:r w:rsidRPr="005607FC">
              <w:rPr>
                <w:rFonts w:ascii="Times New Roman" w:hAnsi="Times New Roman" w:cs="Times New Roman"/>
                <w:sz w:val="24"/>
                <w:szCs w:val="24"/>
              </w:rPr>
              <w:t xml:space="preserve">Ar </w:t>
            </w:r>
            <w:r w:rsidRPr="005607FC">
              <w:rPr>
                <w:rFonts w:ascii="Times New Roman" w:hAnsi="Times New Roman" w:cs="Times New Roman"/>
                <w:b/>
                <w:bCs/>
                <w:sz w:val="24"/>
                <w:szCs w:val="24"/>
              </w:rPr>
              <w:t>pārejas noteikumu 80. punktu</w:t>
            </w:r>
            <w:r w:rsidRPr="005607FC">
              <w:rPr>
                <w:rFonts w:ascii="Times New Roman" w:hAnsi="Times New Roman" w:cs="Times New Roman"/>
                <w:sz w:val="24"/>
                <w:szCs w:val="24"/>
              </w:rPr>
              <w:t xml:space="preserve"> paredzēts noteikt, ka </w:t>
            </w:r>
            <w:r w:rsidRPr="005607FC">
              <w:rPr>
                <w:rFonts w:ascii="Times New Roman" w:hAnsi="Times New Roman" w:cs="Times New Roman"/>
                <w:sz w:val="24"/>
                <w:szCs w:val="24"/>
                <w:bdr w:val="none" w:sz="0" w:space="0" w:color="auto" w:frame="1"/>
              </w:rPr>
              <w:t>šā likuma 400. panta kārtībā apturētos kriminālprocesus pārskata saskaņā ar šā likuma 392. panta 1.</w:t>
            </w:r>
            <w:r w:rsidRPr="005607FC">
              <w:rPr>
                <w:rFonts w:ascii="Times New Roman" w:hAnsi="Times New Roman" w:cs="Times New Roman"/>
                <w:sz w:val="24"/>
                <w:szCs w:val="24"/>
                <w:bdr w:val="none" w:sz="0" w:space="0" w:color="auto" w:frame="1"/>
                <w:vertAlign w:val="superscript"/>
              </w:rPr>
              <w:t>1</w:t>
            </w:r>
            <w:r w:rsidRPr="005607FC">
              <w:rPr>
                <w:rFonts w:ascii="Times New Roman" w:hAnsi="Times New Roman" w:cs="Times New Roman"/>
                <w:sz w:val="24"/>
                <w:szCs w:val="24"/>
                <w:bdr w:val="none" w:sz="0" w:space="0" w:color="auto" w:frame="1"/>
              </w:rPr>
              <w:t xml:space="preserve"> daļu pēc procesa virzītāja iniciatīvas.</w:t>
            </w:r>
            <w:r w:rsidRPr="007334AD">
              <w:rPr>
                <w:rFonts w:ascii="Times New Roman" w:hAnsi="Times New Roman" w:cs="Times New Roman"/>
                <w:sz w:val="24"/>
                <w:szCs w:val="24"/>
                <w:bdr w:val="none" w:sz="0" w:space="0" w:color="auto" w:frame="1"/>
              </w:rPr>
              <w:t xml:space="preserve"> Tādējādi </w:t>
            </w:r>
            <w:proofErr w:type="spellStart"/>
            <w:r w:rsidRPr="007334AD">
              <w:rPr>
                <w:rFonts w:ascii="Times New Roman" w:hAnsi="Times New Roman" w:cs="Times New Roman"/>
                <w:sz w:val="24"/>
                <w:szCs w:val="24"/>
                <w:bdr w:val="none" w:sz="0" w:space="0" w:color="auto" w:frame="1"/>
              </w:rPr>
              <w:t>tiesībsargājošās</w:t>
            </w:r>
            <w:proofErr w:type="spellEnd"/>
            <w:r w:rsidRPr="007334AD">
              <w:rPr>
                <w:rFonts w:ascii="Times New Roman" w:hAnsi="Times New Roman" w:cs="Times New Roman"/>
                <w:sz w:val="24"/>
                <w:szCs w:val="24"/>
                <w:bdr w:val="none" w:sz="0" w:space="0" w:color="auto" w:frame="1"/>
              </w:rPr>
              <w:t xml:space="preserve"> iestādes pašas izlems</w:t>
            </w:r>
            <w:r>
              <w:rPr>
                <w:rFonts w:ascii="Times New Roman" w:hAnsi="Times New Roman" w:cs="Times New Roman"/>
                <w:sz w:val="24"/>
                <w:szCs w:val="24"/>
                <w:bdr w:val="none" w:sz="0" w:space="0" w:color="auto" w:frame="1"/>
              </w:rPr>
              <w:t>,</w:t>
            </w:r>
            <w:r w:rsidRPr="007334AD">
              <w:rPr>
                <w:rFonts w:ascii="Times New Roman" w:hAnsi="Times New Roman" w:cs="Times New Roman"/>
                <w:sz w:val="24"/>
                <w:szCs w:val="24"/>
                <w:bdr w:val="none" w:sz="0" w:space="0" w:color="auto" w:frame="1"/>
              </w:rPr>
              <w:t xml:space="preserve"> kādā laikā un apjomā ir pārskatāmi KPL 400.panta kārtībā apturētie kriminālprocesi un turpmāko rīcību ar tiem.</w:t>
            </w:r>
          </w:p>
          <w:p w14:paraId="62E74451" w14:textId="77777777" w:rsidR="000F5E4B" w:rsidRDefault="000F5E4B" w:rsidP="00B02AB4">
            <w:pPr>
              <w:shd w:val="clear" w:color="auto" w:fill="FFFFFF"/>
              <w:spacing w:after="0" w:line="240" w:lineRule="auto"/>
              <w:jc w:val="both"/>
              <w:rPr>
                <w:rFonts w:ascii="Times New Roman" w:hAnsi="Times New Roman" w:cs="Times New Roman"/>
                <w:b/>
                <w:bCs/>
                <w:sz w:val="24"/>
                <w:szCs w:val="24"/>
                <w:shd w:val="clear" w:color="auto" w:fill="FFFFFF"/>
              </w:rPr>
            </w:pPr>
          </w:p>
          <w:p w14:paraId="1F735E49" w14:textId="66023632" w:rsidR="000F5E4B" w:rsidRDefault="000F5E4B" w:rsidP="00B02AB4">
            <w:pPr>
              <w:shd w:val="clear" w:color="auto" w:fill="FFFFFF"/>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Par kasācijas instances tiesībām lietu izskatīšanai paplašinātā sastāvā un atsevišķo domu paušanu. </w:t>
            </w:r>
          </w:p>
          <w:p w14:paraId="21572912" w14:textId="77777777" w:rsidR="00C9653E" w:rsidRPr="00C9653E" w:rsidRDefault="00C9653E" w:rsidP="00C9653E">
            <w:pPr>
              <w:tabs>
                <w:tab w:val="left" w:pos="426"/>
              </w:tabs>
              <w:spacing w:after="0" w:line="240" w:lineRule="auto"/>
              <w:jc w:val="both"/>
              <w:rPr>
                <w:rFonts w:ascii="Times New Roman" w:hAnsi="Times New Roman" w:cs="Times New Roman"/>
                <w:sz w:val="24"/>
                <w:szCs w:val="24"/>
              </w:rPr>
            </w:pPr>
            <w:r w:rsidRPr="00C9653E">
              <w:rPr>
                <w:rFonts w:ascii="Times New Roman" w:hAnsi="Times New Roman" w:cs="Times New Roman"/>
                <w:sz w:val="24"/>
                <w:szCs w:val="24"/>
              </w:rPr>
              <w:t xml:space="preserve">Grozījumu </w:t>
            </w:r>
            <w:r w:rsidRPr="00C9653E">
              <w:rPr>
                <w:rFonts w:ascii="Times New Roman" w:hAnsi="Times New Roman" w:cs="Times New Roman"/>
                <w:b/>
                <w:bCs/>
                <w:sz w:val="24"/>
                <w:szCs w:val="24"/>
              </w:rPr>
              <w:t>KPL 582., 586. pantā</w:t>
            </w:r>
            <w:r w:rsidRPr="00C9653E">
              <w:rPr>
                <w:rFonts w:ascii="Times New Roman" w:hAnsi="Times New Roman" w:cs="Times New Roman"/>
                <w:sz w:val="24"/>
                <w:szCs w:val="24"/>
              </w:rPr>
              <w:t xml:space="preserve"> mērķis ir papildināt KPL 54.nodaļu „Lietas izskatīšana kasācijas kārtībā” ar kārtību, kas ļauj Augstākajai tiesai mutvārdu procesā izskatīt lietas ne tikai triju tiesnešu sastāvā, bet arī paplašinātā sastāvā. </w:t>
            </w:r>
          </w:p>
          <w:p w14:paraId="27CF5E7F" w14:textId="4F658F5E"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Lietu izskatīšana paplašinātā sastāvā šobrīd Latvijas Republikā ir noteikta administratīvajā procesā</w:t>
            </w:r>
            <w:r w:rsidR="00AB2173">
              <w:rPr>
                <w:rFonts w:ascii="Times New Roman" w:hAnsi="Times New Roman" w:cs="Times New Roman"/>
                <w:sz w:val="24"/>
                <w:szCs w:val="24"/>
              </w:rPr>
              <w:t xml:space="preserve"> un </w:t>
            </w:r>
            <w:r w:rsidRPr="007334AD">
              <w:rPr>
                <w:rFonts w:ascii="Times New Roman" w:hAnsi="Times New Roman" w:cs="Times New Roman"/>
                <w:sz w:val="24"/>
                <w:szCs w:val="24"/>
              </w:rPr>
              <w:t xml:space="preserve">civilprocesā. </w:t>
            </w:r>
          </w:p>
          <w:p w14:paraId="59690880"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Kaut arī KPL ir visjaunākais no procesuālajiem likumiem, tā pamata redakcijā lietas izskatīšana kasācijas kārtībā paplašinātā sastāvā, kā arī tiesības Senāta Krimināllietu departamenta tiesnešiem izteikt atsevišķās domas netika noteiktas. Attiecīgi tika pārņemts iepriekš spēkā esošā Latvijas Kriminālprocesa kodeksa</w:t>
            </w:r>
            <w:r w:rsidRPr="007334AD">
              <w:rPr>
                <w:rStyle w:val="Vresatsauce"/>
              </w:rPr>
              <w:footnoteReference w:id="1"/>
            </w:r>
            <w:r w:rsidRPr="007334AD">
              <w:rPr>
                <w:rFonts w:ascii="Times New Roman" w:hAnsi="Times New Roman" w:cs="Times New Roman"/>
                <w:sz w:val="24"/>
                <w:szCs w:val="24"/>
              </w:rPr>
              <w:t xml:space="preserve"> 456. pantā noteiktais regulējums par tiesas sastāvu, izskatot lietu kasācijas kārtībā.</w:t>
            </w:r>
          </w:p>
          <w:p w14:paraId="2D77F297"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Satversmes tiesa ir uzsvērusi, ka kasācijas instances tiesa sniedz principiālu likuma materiālo un procesuālo tiesību normu interpretāciju, kas var ietekmēt daudzu personu tiesības dažādos tiesu procesos, tostarp arī tās konkrētās personas tiesības, kura vērsusies ar sūdzību kasācijas instances tiesā konkrētā lietā.</w:t>
            </w:r>
            <w:r w:rsidRPr="007334AD">
              <w:rPr>
                <w:rStyle w:val="Vresatsauce"/>
              </w:rPr>
              <w:footnoteReference w:id="2"/>
            </w:r>
            <w:r w:rsidRPr="007334AD">
              <w:rPr>
                <w:rFonts w:ascii="Times New Roman" w:hAnsi="Times New Roman" w:cs="Times New Roman"/>
                <w:sz w:val="24"/>
                <w:szCs w:val="24"/>
              </w:rPr>
              <w:t xml:space="preserve"> Pirmajā instancē tiek vērtēti visi lietas apstākļi, pārbaudīti un analizēti pierādījumi un lieta tiek izspriesta pēc būtības. Apelācijas instances tiesa pārbauda pirmās instances tiesas nolēmuma pamatotību un tiesiskumu. Šī pārbaude ietver lietas izspriešanu pēc būtības un var noslēgties ar to, ka apelācijas instances tiesa pievienojas pirmās instances tiesas nolēmuma pamatojumam vai arī taisa jaunu nolēmumu. Savukārt kasācijas instances tiesā tiek vērtēti tikai </w:t>
            </w:r>
            <w:proofErr w:type="spellStart"/>
            <w:r w:rsidRPr="007334AD">
              <w:rPr>
                <w:rFonts w:ascii="Times New Roman" w:hAnsi="Times New Roman" w:cs="Times New Roman"/>
                <w:i/>
                <w:iCs/>
                <w:sz w:val="24"/>
                <w:szCs w:val="24"/>
              </w:rPr>
              <w:t>quaestiones</w:t>
            </w:r>
            <w:proofErr w:type="spellEnd"/>
            <w:r w:rsidRPr="007334AD">
              <w:rPr>
                <w:rFonts w:ascii="Times New Roman" w:hAnsi="Times New Roman" w:cs="Times New Roman"/>
                <w:i/>
                <w:iCs/>
                <w:sz w:val="24"/>
                <w:szCs w:val="24"/>
              </w:rPr>
              <w:t xml:space="preserve"> </w:t>
            </w:r>
            <w:proofErr w:type="spellStart"/>
            <w:r w:rsidRPr="007334AD">
              <w:rPr>
                <w:rFonts w:ascii="Times New Roman" w:hAnsi="Times New Roman" w:cs="Times New Roman"/>
                <w:i/>
                <w:iCs/>
                <w:sz w:val="24"/>
                <w:szCs w:val="24"/>
              </w:rPr>
              <w:t>iuris</w:t>
            </w:r>
            <w:proofErr w:type="spellEnd"/>
            <w:r w:rsidRPr="007334AD">
              <w:rPr>
                <w:rFonts w:ascii="Times New Roman" w:hAnsi="Times New Roman" w:cs="Times New Roman"/>
                <w:i/>
                <w:iCs/>
                <w:sz w:val="24"/>
                <w:szCs w:val="24"/>
              </w:rPr>
              <w:t>,</w:t>
            </w:r>
            <w:r w:rsidRPr="007334AD">
              <w:rPr>
                <w:rFonts w:ascii="Times New Roman" w:hAnsi="Times New Roman" w:cs="Times New Roman"/>
                <w:sz w:val="24"/>
                <w:szCs w:val="24"/>
              </w:rPr>
              <w:t xml:space="preserve"> proti, jautājumi par materiālo un procesuālo tiesību normu piemērošanas pareizību.</w:t>
            </w:r>
            <w:r w:rsidRPr="007334AD">
              <w:rPr>
                <w:rStyle w:val="Vresatsauce"/>
              </w:rPr>
              <w:footnoteReference w:id="3"/>
            </w:r>
            <w:r w:rsidRPr="007334AD">
              <w:rPr>
                <w:rFonts w:ascii="Times New Roman" w:hAnsi="Times New Roman" w:cs="Times New Roman"/>
                <w:sz w:val="24"/>
                <w:szCs w:val="24"/>
              </w:rPr>
              <w:t xml:space="preserve"> </w:t>
            </w:r>
          </w:p>
          <w:p w14:paraId="6DA24765"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lastRenderedPageBreak/>
              <w:t xml:space="preserve">Satversmes tiesa ir uzsvērusi kasācijas instances tiesas nozīmi kriminālprocesā demokrātiskā tiesiskā valstī, kā arī tās nozīmi tiesību sistēmas vienotības, attīstības un personas </w:t>
            </w:r>
            <w:proofErr w:type="spellStart"/>
            <w:r w:rsidRPr="007334AD">
              <w:rPr>
                <w:rFonts w:ascii="Times New Roman" w:hAnsi="Times New Roman" w:cs="Times New Roman"/>
                <w:sz w:val="24"/>
                <w:szCs w:val="24"/>
              </w:rPr>
              <w:t>pamattiesību</w:t>
            </w:r>
            <w:proofErr w:type="spellEnd"/>
            <w:r w:rsidRPr="007334AD">
              <w:rPr>
                <w:rFonts w:ascii="Times New Roman" w:hAnsi="Times New Roman" w:cs="Times New Roman"/>
                <w:sz w:val="24"/>
                <w:szCs w:val="24"/>
              </w:rPr>
              <w:t>,</w:t>
            </w:r>
            <w:r w:rsidRPr="007334AD">
              <w:rPr>
                <w:rStyle w:val="Vresatsauce"/>
              </w:rPr>
              <w:footnoteReference w:id="4"/>
            </w:r>
            <w:r w:rsidRPr="007334AD">
              <w:rPr>
                <w:rFonts w:ascii="Times New Roman" w:hAnsi="Times New Roman" w:cs="Times New Roman"/>
                <w:sz w:val="24"/>
                <w:szCs w:val="24"/>
              </w:rPr>
              <w:t xml:space="preserve"> taisnīguma,</w:t>
            </w:r>
            <w:r w:rsidRPr="007334AD">
              <w:rPr>
                <w:rStyle w:val="Vresatsauce"/>
              </w:rPr>
              <w:footnoteReference w:id="5"/>
            </w:r>
            <w:r w:rsidRPr="007334AD">
              <w:rPr>
                <w:rFonts w:ascii="Times New Roman" w:hAnsi="Times New Roman" w:cs="Times New Roman"/>
                <w:sz w:val="24"/>
                <w:szCs w:val="24"/>
              </w:rPr>
              <w:t xml:space="preserve"> un tiesības uz taisnīgu tiesu nodrošināšanā</w:t>
            </w:r>
            <w:r w:rsidRPr="007334AD">
              <w:rPr>
                <w:rStyle w:val="Vresatsauce"/>
              </w:rPr>
              <w:footnoteReference w:id="6"/>
            </w:r>
            <w:r w:rsidRPr="007334AD">
              <w:rPr>
                <w:rFonts w:ascii="Times New Roman" w:hAnsi="Times New Roman" w:cs="Times New Roman"/>
                <w:sz w:val="24"/>
                <w:szCs w:val="24"/>
              </w:rPr>
              <w:t>.</w:t>
            </w:r>
          </w:p>
          <w:p w14:paraId="0599E4E8"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Kasācijas instances tiesa pēc sava rakstura ir publiski nozīmīga, jo tajā notiekošais process ir vērsts uz tiesību normu vienveidīgu iztulkošanu un piemērošanu valstī, proti, uz likumu vienveidīgu interpretāciju.</w:t>
            </w:r>
            <w:r w:rsidRPr="007334AD">
              <w:rPr>
                <w:rStyle w:val="Vresatsauce"/>
              </w:rPr>
              <w:footnoteReference w:id="7"/>
            </w:r>
            <w:r w:rsidRPr="007334AD">
              <w:rPr>
                <w:rFonts w:ascii="Times New Roman" w:hAnsi="Times New Roman" w:cs="Times New Roman"/>
                <w:sz w:val="24"/>
                <w:szCs w:val="24"/>
              </w:rPr>
              <w:t xml:space="preserve"> Pieejama un saprotama judikatūra, kasācijas instances tiesas sniegtā analīze un interpretācija ir nozīmīgs instruments vienveidīgas judikatūras veidošanai, kā arī tiesību attīstības nodrošināšanai.</w:t>
            </w:r>
            <w:r w:rsidRPr="007334AD">
              <w:rPr>
                <w:rStyle w:val="Vresatsauce"/>
              </w:rPr>
              <w:footnoteReference w:id="8"/>
            </w:r>
            <w:r w:rsidRPr="007334AD">
              <w:rPr>
                <w:rFonts w:ascii="Times New Roman" w:hAnsi="Times New Roman" w:cs="Times New Roman"/>
                <w:sz w:val="24"/>
                <w:szCs w:val="24"/>
              </w:rPr>
              <w:t xml:space="preserve"> Kasācijas instances tiesai ir būtiska loma tiesību normu interpretēšanā un piemērošanā Satversmei atbilstošā veidā.</w:t>
            </w:r>
            <w:r w:rsidRPr="007334AD">
              <w:rPr>
                <w:rStyle w:val="Vresatsauce"/>
              </w:rPr>
              <w:footnoteReference w:id="9"/>
            </w:r>
            <w:r w:rsidRPr="007334AD">
              <w:rPr>
                <w:rFonts w:ascii="Times New Roman" w:hAnsi="Times New Roman" w:cs="Times New Roman"/>
                <w:sz w:val="24"/>
                <w:szCs w:val="24"/>
              </w:rPr>
              <w:t xml:space="preserve"> </w:t>
            </w:r>
          </w:p>
          <w:p w14:paraId="7BEF4B74"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Kasācijas instances tiesa, vērtējot tiesību normu piemērošanas pareizību, arī sniedz principiālu tiesību normu interpretāciju. Kasācijas instances tiesas sniegtā </w:t>
            </w:r>
            <w:proofErr w:type="spellStart"/>
            <w:r w:rsidRPr="007334AD">
              <w:rPr>
                <w:rFonts w:ascii="Times New Roman" w:hAnsi="Times New Roman" w:cs="Times New Roman"/>
                <w:sz w:val="24"/>
                <w:szCs w:val="24"/>
              </w:rPr>
              <w:t>problēmjautājumu</w:t>
            </w:r>
            <w:proofErr w:type="spellEnd"/>
            <w:r w:rsidRPr="007334AD">
              <w:rPr>
                <w:rFonts w:ascii="Times New Roman" w:hAnsi="Times New Roman" w:cs="Times New Roman"/>
                <w:sz w:val="24"/>
                <w:szCs w:val="24"/>
              </w:rPr>
              <w:t xml:space="preserve"> analīze un interpretācija ir būtisks instruments vienveidīgas judikatūras veidošanai, kā arī tiesību attīstības nodrošināšanai</w:t>
            </w:r>
            <w:r w:rsidRPr="007334AD">
              <w:rPr>
                <w:rStyle w:val="Vresatsauce"/>
              </w:rPr>
              <w:footnoteReference w:id="10"/>
            </w:r>
            <w:r w:rsidRPr="007334AD">
              <w:rPr>
                <w:rFonts w:ascii="Times New Roman" w:hAnsi="Times New Roman" w:cs="Times New Roman"/>
                <w:sz w:val="24"/>
                <w:szCs w:val="24"/>
              </w:rPr>
              <w:t>.</w:t>
            </w:r>
          </w:p>
          <w:p w14:paraId="262EA3AB"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Kasācijas instances tiesai ir īpašs raksturs, un tas nosaka attiecīgā tiesas procesa īpatnības. Latvijā tiesvedības mērķis kasācijas instancē ir gan tiesību vienotības, gan arī personas tiesību aizsardzības nodrošināšana. </w:t>
            </w:r>
            <w:proofErr w:type="spellStart"/>
            <w:r w:rsidRPr="007334AD">
              <w:rPr>
                <w:rFonts w:ascii="Times New Roman" w:hAnsi="Times New Roman" w:cs="Times New Roman"/>
                <w:sz w:val="24"/>
                <w:szCs w:val="24"/>
              </w:rPr>
              <w:t>Visupirms</w:t>
            </w:r>
            <w:proofErr w:type="spellEnd"/>
            <w:r w:rsidRPr="007334AD">
              <w:rPr>
                <w:rFonts w:ascii="Times New Roman" w:hAnsi="Times New Roman" w:cs="Times New Roman"/>
                <w:sz w:val="24"/>
                <w:szCs w:val="24"/>
              </w:rPr>
              <w:t xml:space="preserve"> kasācijas instances tiesai ir būtiska loma tiesību normu vienveidīgā interpretēšanā un piemērošanā Satversmei atbilstošā veidā, un tās sniegtā </w:t>
            </w:r>
            <w:proofErr w:type="spellStart"/>
            <w:r w:rsidRPr="007334AD">
              <w:rPr>
                <w:rFonts w:ascii="Times New Roman" w:hAnsi="Times New Roman" w:cs="Times New Roman"/>
                <w:sz w:val="24"/>
                <w:szCs w:val="24"/>
              </w:rPr>
              <w:t>problēmjautājumu</w:t>
            </w:r>
            <w:proofErr w:type="spellEnd"/>
            <w:r w:rsidRPr="007334AD">
              <w:rPr>
                <w:rFonts w:ascii="Times New Roman" w:hAnsi="Times New Roman" w:cs="Times New Roman"/>
                <w:sz w:val="24"/>
                <w:szCs w:val="24"/>
              </w:rPr>
              <w:t xml:space="preserve"> analīze un interpretācija ir nozīmīgs instruments tiesību attīstības nodrošināšanai. </w:t>
            </w:r>
          </w:p>
          <w:p w14:paraId="66499AC8"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Vienlaikus kasācijas instances tiesa veic arī personai, kurai konkrētajā kriminālprocesā ir tiesības uz aizstāvību, piemērojamā </w:t>
            </w:r>
            <w:proofErr w:type="spellStart"/>
            <w:r w:rsidRPr="007334AD">
              <w:rPr>
                <w:rFonts w:ascii="Times New Roman" w:hAnsi="Times New Roman" w:cs="Times New Roman"/>
                <w:sz w:val="24"/>
                <w:szCs w:val="24"/>
              </w:rPr>
              <w:t>pamattiesību</w:t>
            </w:r>
            <w:proofErr w:type="spellEnd"/>
            <w:r w:rsidRPr="007334AD">
              <w:rPr>
                <w:rFonts w:ascii="Times New Roman" w:hAnsi="Times New Roman" w:cs="Times New Roman"/>
                <w:sz w:val="24"/>
                <w:szCs w:val="24"/>
              </w:rPr>
              <w:t xml:space="preserve"> ierobežojuma pamatotības galīgo pārbaudi, un tās spriedums rada nozīmīgas tiesiski sociālas sekas.</w:t>
            </w:r>
            <w:r w:rsidRPr="007334AD">
              <w:rPr>
                <w:rStyle w:val="Vresatsauce"/>
              </w:rPr>
              <w:footnoteReference w:id="11"/>
            </w:r>
            <w:r w:rsidRPr="007334AD">
              <w:rPr>
                <w:rFonts w:ascii="Times New Roman" w:hAnsi="Times New Roman" w:cs="Times New Roman"/>
                <w:sz w:val="24"/>
                <w:szCs w:val="24"/>
              </w:rPr>
              <w:t xml:space="preserve"> Turklāt kasācijas instancē, skatot jautājumus par materiālo un procesuālo normu piemērošanas pareizību, izšķirošā nozīme ir publiski tiesiskajām interesēm.</w:t>
            </w:r>
            <w:r w:rsidRPr="007334AD">
              <w:rPr>
                <w:rStyle w:val="Vresatsauce"/>
              </w:rPr>
              <w:footnoteReference w:id="12"/>
            </w:r>
            <w:r w:rsidRPr="007334AD">
              <w:rPr>
                <w:rFonts w:ascii="Times New Roman" w:hAnsi="Times New Roman" w:cs="Times New Roman"/>
                <w:sz w:val="24"/>
                <w:szCs w:val="24"/>
              </w:rPr>
              <w:t xml:space="preserve"> Latvijas Republikā Senāta Krimināllietu departamentam ir uzticēta nozīmīgas funkcijas veidot un attīstīt vienotu tiesību sistēmu, vienveidīgu tiesu praksi un judikatūru, kā arī nodrošināt personas </w:t>
            </w:r>
            <w:proofErr w:type="spellStart"/>
            <w:r w:rsidRPr="007334AD">
              <w:rPr>
                <w:rFonts w:ascii="Times New Roman" w:hAnsi="Times New Roman" w:cs="Times New Roman"/>
                <w:sz w:val="24"/>
                <w:szCs w:val="24"/>
              </w:rPr>
              <w:t>pamattiesības</w:t>
            </w:r>
            <w:proofErr w:type="spellEnd"/>
            <w:r w:rsidRPr="007334AD">
              <w:rPr>
                <w:rFonts w:ascii="Times New Roman" w:hAnsi="Times New Roman" w:cs="Times New Roman"/>
                <w:sz w:val="24"/>
                <w:szCs w:val="24"/>
              </w:rPr>
              <w:t>.</w:t>
            </w:r>
          </w:p>
          <w:p w14:paraId="30C3C552"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lastRenderedPageBreak/>
              <w:t>Augstākā tiesa ir secinājusi, ka lietā esošo pierādījumu novērtēšana piekrīt tiesai, kas izspriež lietu pēc būtības. Arī jautājums par to, vai lietā esošie pierādījumi ir vai nav pietiekami apsūdzētā vainas konstatēšanai, ir būtības jautājums, kas kasācijas kārtībā nav pārbaudāms. Tāpat kasācijas kārtībā nav pārbaudāmi kasācijas protesta un sūdzību iesniedzēju apsvērumi par citādu lietas apstākļu novērtējumu, nekā to ir izdarījusi apelācijas instances tiesa.</w:t>
            </w:r>
            <w:r w:rsidRPr="007334AD">
              <w:rPr>
                <w:rStyle w:val="Vresatsauce"/>
              </w:rPr>
              <w:footnoteReference w:id="13"/>
            </w:r>
            <w:r w:rsidRPr="007334AD">
              <w:rPr>
                <w:rFonts w:ascii="Times New Roman" w:hAnsi="Times New Roman" w:cs="Times New Roman"/>
                <w:sz w:val="24"/>
                <w:szCs w:val="24"/>
              </w:rPr>
              <w:t xml:space="preserve"> Proti, Senāta Krimināllietu departaments neskata lietu pēc būtības, nespriež par faktiem un pierādījumus lietā no jauna nevērtē, bet gan veic tiesas nolēmuma tiesiskuma pārbaudi. Senāts nevērtē personas vainīgumu apsūdzībā norādītā noziedzīgā nodarījuma izdarīšanā un apsūdzības pamatotību no pierādījumu aspekta.</w:t>
            </w:r>
          </w:p>
          <w:p w14:paraId="6175AC62"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Kasācijas instances tiesa savas kompetences ietvaros vispārinātā veidā atbilstoši kasācijas sūdzībai vai protestam izvērtē zemākas instances tiesas nolēmuma tiesiskumu un iespējamus KL pārkāpumus vai KPL normu būtiskus pārkāpumus tiesas spriešanā. Turklāt Senāta Krimināllietu departamenta tiesnesis kasācijas kārtībā to pašu krimināllietu var izskatīt arī atkārtoti.</w:t>
            </w:r>
          </w:p>
          <w:p w14:paraId="4877BC50" w14:textId="14E91CAB" w:rsidR="00C9653E" w:rsidRPr="00C9653E"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Līdz šim judikatūra veidota, galvenokārt nosakot lietas izskatīšanu mutvārdu procesā atbilstoši KPL 583. panta otrās daļas 2. teikumam. Tieši veidojot judikatūru, pie sarežģītākiem tiesību jautājumiem novērota objektīva nepieciešamība lietu kasācijas instancē izskatīt paplašinātā sastāvā, lai tādā veidā izskatāmajā juridiskajā jautājumā vēl efektīvāk nonāktu pie skaidra un vispārināta risinājuma un vienota Senāta Krimināllietu departamenta viedokļa. Senāta Krimināllietu departaments ir vairākkārt konstatējis, ka sarežģītu tiesību jautājumu izskatīšana paplašinātā sastāvā būtiski sekmētu iespēju Senātam veidot vienveidīgu un stabilu tiesu praksi, tādā veidā vēl efektīvāk nodrošinot personas </w:t>
            </w:r>
            <w:proofErr w:type="spellStart"/>
            <w:r w:rsidRPr="007334AD">
              <w:rPr>
                <w:rFonts w:ascii="Times New Roman" w:hAnsi="Times New Roman" w:cs="Times New Roman"/>
                <w:sz w:val="24"/>
                <w:szCs w:val="24"/>
              </w:rPr>
              <w:t>pamattiesības</w:t>
            </w:r>
            <w:proofErr w:type="spellEnd"/>
            <w:r w:rsidRPr="007334AD">
              <w:rPr>
                <w:rFonts w:ascii="Times New Roman" w:hAnsi="Times New Roman" w:cs="Times New Roman"/>
                <w:sz w:val="24"/>
                <w:szCs w:val="24"/>
              </w:rPr>
              <w:t xml:space="preserve">, kā arī tiesību normu vienveidīgu interpretēšanu un piemērošanu Satversmei atbilstošā veidā un kopumā efektīvi nodrošinātu tiesības uz taisnīgu tiesu. </w:t>
            </w:r>
          </w:p>
          <w:p w14:paraId="34801484"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Grozījumi </w:t>
            </w:r>
            <w:r w:rsidRPr="007334AD">
              <w:rPr>
                <w:rFonts w:ascii="Times New Roman" w:hAnsi="Times New Roman" w:cs="Times New Roman"/>
                <w:b/>
                <w:bCs/>
                <w:sz w:val="24"/>
                <w:szCs w:val="24"/>
              </w:rPr>
              <w:t>KPL 587. pantā</w:t>
            </w:r>
            <w:r w:rsidRPr="007334AD">
              <w:rPr>
                <w:rFonts w:ascii="Times New Roman" w:hAnsi="Times New Roman" w:cs="Times New Roman"/>
                <w:sz w:val="24"/>
                <w:szCs w:val="24"/>
              </w:rPr>
              <w:t xml:space="preserve"> paredz noteikt pie paplašinātā sastāva senatoru tiesības </w:t>
            </w:r>
            <w:proofErr w:type="spellStart"/>
            <w:r w:rsidRPr="007334AD">
              <w:rPr>
                <w:rFonts w:ascii="Times New Roman" w:hAnsi="Times New Roman" w:cs="Times New Roman"/>
                <w:sz w:val="24"/>
                <w:szCs w:val="24"/>
              </w:rPr>
              <w:t>rakstveidā</w:t>
            </w:r>
            <w:proofErr w:type="spellEnd"/>
            <w:r w:rsidRPr="007334AD">
              <w:rPr>
                <w:rFonts w:ascii="Times New Roman" w:hAnsi="Times New Roman" w:cs="Times New Roman"/>
                <w:sz w:val="24"/>
                <w:szCs w:val="24"/>
              </w:rPr>
              <w:t xml:space="preserve"> izteikt atsevišķās domas.</w:t>
            </w:r>
          </w:p>
          <w:p w14:paraId="309FE26C"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Kvalitatīvas juridiskās domas tālākas attīstības garantēšanai bez paplašināto sastāvu ieviešanas KPL, būtiski ir arī Senāta Krimināllietu departamenta tiesnešiem noteikt tiesības izteikt savas atsevišķās domas. Lai pamatotu šādu nepieciešamību, turpmāk tiesības izteikt atsevišķās domas tiks aplūkotas gan no vēsturiskā aspekta, gan arī no sistēmiskā aspekta, vērtējot šobrīd citos spēkā esošajos procesuālajos likumos ietverto regulējumu un tā pamatojumu.</w:t>
            </w:r>
          </w:p>
          <w:p w14:paraId="00BE143E"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lastRenderedPageBreak/>
              <w:t>Iespēja izteikt atsevišķās domas Latvijas tiesu sistēmā dažādos formātos ir pastāvējusi jau izsenis. Latvijas teritorijā līdz 1918. gada 18. novembrim tiesu iekārtu noteica 1864. gada 20. novembrī pieņemtais Krievijas likums par tiesu iestādēm (</w:t>
            </w:r>
            <w:proofErr w:type="spellStart"/>
            <w:r w:rsidRPr="007334AD">
              <w:rPr>
                <w:rFonts w:ascii="Times New Roman" w:hAnsi="Times New Roman" w:cs="Times New Roman"/>
                <w:sz w:val="24"/>
                <w:szCs w:val="24"/>
              </w:rPr>
              <w:t>Учрежденiя</w:t>
            </w:r>
            <w:proofErr w:type="spellEnd"/>
            <w:r w:rsidRPr="007334AD">
              <w:rPr>
                <w:rFonts w:ascii="Times New Roman" w:hAnsi="Times New Roman" w:cs="Times New Roman"/>
                <w:sz w:val="24"/>
                <w:szCs w:val="24"/>
              </w:rPr>
              <w:t xml:space="preserve"> </w:t>
            </w:r>
            <w:proofErr w:type="spellStart"/>
            <w:r w:rsidRPr="007334AD">
              <w:rPr>
                <w:rFonts w:ascii="Times New Roman" w:hAnsi="Times New Roman" w:cs="Times New Roman"/>
                <w:sz w:val="24"/>
                <w:szCs w:val="24"/>
              </w:rPr>
              <w:t>судебныхъ</w:t>
            </w:r>
            <w:proofErr w:type="spellEnd"/>
            <w:r w:rsidRPr="007334AD">
              <w:rPr>
                <w:rFonts w:ascii="Times New Roman" w:hAnsi="Times New Roman" w:cs="Times New Roman"/>
                <w:sz w:val="24"/>
                <w:szCs w:val="24"/>
              </w:rPr>
              <w:t xml:space="preserve"> </w:t>
            </w:r>
            <w:proofErr w:type="spellStart"/>
            <w:r w:rsidRPr="007334AD">
              <w:rPr>
                <w:rFonts w:ascii="Times New Roman" w:hAnsi="Times New Roman" w:cs="Times New Roman"/>
                <w:sz w:val="24"/>
                <w:szCs w:val="24"/>
              </w:rPr>
              <w:t>установленiй</w:t>
            </w:r>
            <w:proofErr w:type="spellEnd"/>
            <w:r w:rsidRPr="007334AD">
              <w:rPr>
                <w:rFonts w:ascii="Times New Roman" w:hAnsi="Times New Roman" w:cs="Times New Roman"/>
                <w:sz w:val="24"/>
                <w:szCs w:val="24"/>
              </w:rPr>
              <w:t>), kurš Baltijas novadā stājās spēkā pēc 1889. gada tiesu reformas</w:t>
            </w:r>
            <w:r w:rsidRPr="007334AD">
              <w:rPr>
                <w:rFonts w:ascii="Times New Roman" w:hAnsi="Times New Roman" w:cs="Times New Roman"/>
                <w:sz w:val="24"/>
                <w:szCs w:val="24"/>
                <w:vertAlign w:val="superscript"/>
              </w:rPr>
              <w:footnoteReference w:id="14"/>
            </w:r>
            <w:r w:rsidRPr="007334AD">
              <w:rPr>
                <w:rFonts w:ascii="Times New Roman" w:hAnsi="Times New Roman" w:cs="Times New Roman"/>
                <w:sz w:val="24"/>
                <w:szCs w:val="24"/>
              </w:rPr>
              <w:t xml:space="preserve"> un bija mantojis 1832. gada 28. janvāra Krievijas Valdošā Senāta iekārtas likuma 89. panta „b)” daļu. </w:t>
            </w:r>
          </w:p>
          <w:p w14:paraId="171B3B2F"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1832. gada 28. janvāra Krievijas Valdošā Senāta iekārtas likuma 89. panta „b)” daļas 16. un 18.punktā par balsu vākšanu lēmumu pieņemšanai noteikts, ka katram senatoram, kurš nepiekrīt vairākuma viedoklim, ir tiesības ne vēlāk kā nedēļas laikā </w:t>
            </w:r>
            <w:proofErr w:type="spellStart"/>
            <w:r w:rsidRPr="007334AD">
              <w:rPr>
                <w:rFonts w:ascii="Times New Roman" w:hAnsi="Times New Roman" w:cs="Times New Roman"/>
                <w:sz w:val="24"/>
                <w:szCs w:val="24"/>
              </w:rPr>
              <w:t>rakstveidā</w:t>
            </w:r>
            <w:proofErr w:type="spellEnd"/>
            <w:r w:rsidRPr="007334AD">
              <w:rPr>
                <w:rFonts w:ascii="Times New Roman" w:hAnsi="Times New Roman" w:cs="Times New Roman"/>
                <w:sz w:val="24"/>
                <w:szCs w:val="24"/>
              </w:rPr>
              <w:t xml:space="preserve"> iesniegt savu viedokli. [..] No vairākuma atšķirīgās rakstiski paustās domas nav iesniedzamas pirms sprieduma parakstīšanas un nav nolasāmas tai pašā sēdē, bet gan nākamajā sēdē. Šis regulējums tika attiecināts arī uz diviem tiesu varas kasācijas instances departamentiem – Civillietu un Krimināllietu departamentu. Turklāt tas nebija atkarīgs no senatoru skaita tiesas sēdē, t.i., senators varēja iesniegt atsevišķās domas arī tad, ja lieta tika skatīta trīs tiesnešu sastāvā.</w:t>
            </w:r>
            <w:r w:rsidRPr="007334AD">
              <w:rPr>
                <w:rFonts w:ascii="Times New Roman" w:hAnsi="Times New Roman" w:cs="Times New Roman"/>
                <w:sz w:val="24"/>
                <w:szCs w:val="24"/>
                <w:vertAlign w:val="superscript"/>
              </w:rPr>
              <w:footnoteReference w:id="15"/>
            </w:r>
          </w:p>
          <w:p w14:paraId="0ABA3772"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2009. gada 5. februārī tika pieņemti grozījumi Civilprocesa likumā, kas spēkā stājās 2009. gada 1. martā, saskaņā ar kuriem 472. pants tika papildināts ar jaunu piektās daļas redakciju. Atbilstoši šai Civilprocesa likuma 472. panta piektās daļas redakcijai tiesnešiem, kas izskata lietu Senāta Civillietu departamenta paplašinātajā sastāvā un kam bijis atšķirīgs viedoklis par likuma tulkojumu vai likuma piemērošanu, noteiktas tiesības </w:t>
            </w:r>
            <w:proofErr w:type="spellStart"/>
            <w:r w:rsidRPr="007334AD">
              <w:rPr>
                <w:rFonts w:ascii="Times New Roman" w:hAnsi="Times New Roman" w:cs="Times New Roman"/>
                <w:sz w:val="24"/>
                <w:szCs w:val="24"/>
              </w:rPr>
              <w:t>rakstveidā</w:t>
            </w:r>
            <w:proofErr w:type="spellEnd"/>
            <w:r w:rsidRPr="007334AD">
              <w:rPr>
                <w:rFonts w:ascii="Times New Roman" w:hAnsi="Times New Roman" w:cs="Times New Roman"/>
                <w:sz w:val="24"/>
                <w:szCs w:val="24"/>
              </w:rPr>
              <w:t xml:space="preserve"> izteikt savas atsevišķās domas. Lai gan Civilprocesa likums sākotnēji nenoteica tiesnešiem tiesības izteikt atsevišķās domas, tomēr pat pie normatīvā regulējuma </w:t>
            </w:r>
            <w:proofErr w:type="spellStart"/>
            <w:r w:rsidRPr="007334AD">
              <w:rPr>
                <w:rFonts w:ascii="Times New Roman" w:hAnsi="Times New Roman" w:cs="Times New Roman"/>
                <w:sz w:val="24"/>
                <w:szCs w:val="24"/>
              </w:rPr>
              <w:t>neesības</w:t>
            </w:r>
            <w:proofErr w:type="spellEnd"/>
            <w:r w:rsidRPr="007334AD">
              <w:rPr>
                <w:rFonts w:ascii="Times New Roman" w:hAnsi="Times New Roman" w:cs="Times New Roman"/>
                <w:sz w:val="24"/>
                <w:szCs w:val="24"/>
              </w:rPr>
              <w:t xml:space="preserve"> senatori tās dažkārt ir pauduši un pievienojuši lietas materiāliem: piemēram, 2006. gada 24. maijā paplašinātā sastāvā</w:t>
            </w:r>
            <w:r w:rsidRPr="007334AD">
              <w:rPr>
                <w:rFonts w:ascii="Times New Roman" w:hAnsi="Times New Roman" w:cs="Times New Roman"/>
                <w:sz w:val="24"/>
                <w:szCs w:val="24"/>
                <w:vertAlign w:val="superscript"/>
              </w:rPr>
              <w:footnoteReference w:id="16"/>
            </w:r>
            <w:r w:rsidRPr="007334AD">
              <w:rPr>
                <w:rFonts w:ascii="Times New Roman" w:hAnsi="Times New Roman" w:cs="Times New Roman"/>
                <w:sz w:val="24"/>
                <w:szCs w:val="24"/>
              </w:rPr>
              <w:t xml:space="preserve"> izskatītajā lietā Nr. SKC-316/2006 par līgumsoda piedziņu no nepilngadīgas personas.</w:t>
            </w:r>
            <w:r w:rsidRPr="007334AD">
              <w:rPr>
                <w:rFonts w:ascii="Times New Roman" w:hAnsi="Times New Roman" w:cs="Times New Roman"/>
                <w:sz w:val="24"/>
                <w:szCs w:val="24"/>
                <w:vertAlign w:val="superscript"/>
              </w:rPr>
              <w:footnoteReference w:id="17"/>
            </w:r>
          </w:p>
          <w:p w14:paraId="24EDC654"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2009. gada 10. decembrī tika pieņemti grozījumi Satversmes tiesas likumā, kas spēkā stājās 2010. gada 1. janvārī. Ar šiem grozījumiem, tajā skaitā tika precizēta Satversmes tiesas likuma 33. panta pirmā daļa un tiesneša atsevišķo domu publicēšanas kārtība. Iepriekš Satversmes tiesnešu atsevišķās domas tika publicētas tikai ikgadējos </w:t>
            </w:r>
            <w:r w:rsidRPr="007334AD">
              <w:rPr>
                <w:rFonts w:ascii="Times New Roman" w:hAnsi="Times New Roman" w:cs="Times New Roman"/>
                <w:sz w:val="24"/>
                <w:szCs w:val="24"/>
              </w:rPr>
              <w:lastRenderedPageBreak/>
              <w:t>Satversmes tiesas nolēmumu krājumos. Likumprojekta „Grozījumi Satversmes tiesas likumā” sākotnējās ietekmes novērtējuma ziņojumā (anotācijā) tika uzsvērts, ka „Satversmes tiesas tiesnešu atsevišķās domas tiek publicētas ar mērķi veicināt zinātnisko diskusiju un dot ieguldījumu tiesību doktrīnas attīstībā”</w:t>
            </w:r>
            <w:r w:rsidRPr="007334AD">
              <w:rPr>
                <w:rStyle w:val="Vresatsauce"/>
              </w:rPr>
              <w:footnoteReference w:id="18"/>
            </w:r>
            <w:r w:rsidRPr="007334AD">
              <w:rPr>
                <w:rFonts w:ascii="Times New Roman" w:hAnsi="Times New Roman" w:cs="Times New Roman"/>
                <w:sz w:val="24"/>
                <w:szCs w:val="24"/>
              </w:rPr>
              <w:t>, vienlaikus atzīmējot, ka atsevišķo domu publicēšana atbilstoši iepriekšējai kārtībai nebija atzīstama par efektīvu noteiktā mērķa sasniegšanai.</w:t>
            </w:r>
          </w:p>
          <w:p w14:paraId="50DE3F4C"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Arī Administratīvā procesa likuma 346. panta ceturtajā daļā tiesības </w:t>
            </w:r>
            <w:proofErr w:type="spellStart"/>
            <w:r w:rsidRPr="007334AD">
              <w:rPr>
                <w:rFonts w:ascii="Times New Roman" w:hAnsi="Times New Roman" w:cs="Times New Roman"/>
                <w:sz w:val="24"/>
                <w:szCs w:val="24"/>
              </w:rPr>
              <w:t>rakstveidā</w:t>
            </w:r>
            <w:proofErr w:type="spellEnd"/>
            <w:r w:rsidRPr="007334AD">
              <w:rPr>
                <w:rFonts w:ascii="Times New Roman" w:hAnsi="Times New Roman" w:cs="Times New Roman"/>
                <w:sz w:val="24"/>
                <w:szCs w:val="24"/>
              </w:rPr>
              <w:t xml:space="preserve"> izteikt savas atsevišķās domas tiesnesim, kuram, lietu izskatot Senāta Administratīvo lietu departamenta kopsēdē, bijis atšķirīgs viedoklis par tiesību normas tulkojumu vai piemērošanu, tika noteiktas ar 2012. gada 1. novembrī pieņemtajiem grozījumiem, kas spēkā stājās 2013. gada 1.janvārī. </w:t>
            </w:r>
          </w:p>
          <w:p w14:paraId="792F2055"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Ņemot vērā vēsturiskās atziņas, šobrīd spēkā esošo likuma „Par tiesu varu” 44. panta trešajā daļā noteikto regulējumu, kā arī sistēmiski citos tiesvedības procesu regulējošajos likumos nostiprināto, ir pamats apgalvot, ka procesuālā iespēja Senāta tiesnešiem izteikt atsevišķās domas, ja lieta izskatīta paplašinātā sastāvā vai kopsēdē, ir neatņemama Latvijas tiesību sistēmā esošo tiesas procesu sastāvdaļa. Turklāt 2009. gada 10. decembrī Satversmes tiesas likumā pieņemto grozījumu anotācijā paustais neapšaubāmi apstiprina atsevišķo domu nozīmi zinātniskās diskusijas veidošanā un to ieguldījumu tiesību doktrīnas attīstībā. Līdz ar to tiesības Senāta un Satversmes tiesas tiesnešiem izteikt atsevišķās domas pamatoti tiek atzītas par vienu no svarīgākajiem juridiskās domas veidošanu nodrošinošajiem elementiem. </w:t>
            </w:r>
          </w:p>
          <w:p w14:paraId="1FF85D9C"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Satversmes tiesa ir atzīmējusi, ka Satversmes 92. panta pirmais teikums prasa nodrošināt personas tiesības uz taisnīgu tiesu ne tikai tad, kad lieta tiek skatīta pēc būtības, bet arī citās tiesvedības procesa stadijās. Savukārt dažādām tiesvedības procesa stadijām var būt atšķirīgs raksturs, proti, tām var būt atšķirīgi mērķi, un tajās tiesa var risināt atšķirīgus jautājumus.</w:t>
            </w:r>
            <w:r w:rsidRPr="007334AD">
              <w:rPr>
                <w:rStyle w:val="Vresatsauce"/>
              </w:rPr>
              <w:footnoteReference w:id="19"/>
            </w:r>
            <w:r w:rsidRPr="007334AD">
              <w:rPr>
                <w:rFonts w:ascii="Times New Roman" w:hAnsi="Times New Roman" w:cs="Times New Roman"/>
                <w:sz w:val="24"/>
                <w:szCs w:val="24"/>
              </w:rPr>
              <w:t xml:space="preserve"> Kasācijas instancē pēc būtības netiek spriests par faktiem un pierādījumiem. Lietā esošie juridiskie iemesli lēmumā, jo īpaši paplašinātā sastāvā specifiski tiktu vērtēti vispārinātā veidā no tiesību sistēmas viedokļa un Satversmei atbilstošā veidā. Tādēļ atsevišķo domu paušana par vispārinātiem juridiskiem apsvērumiem paplašinātā sastāva ietvaros neietekmē nedz paplašinātā sastāva pieņemtā lēmuma autoritāti, nedz arī Senāta autoritāti kopumā. Gluži pretēji, atsevišķās domas stiprinātu arī Senāta Krimināllietu departamenta autoritāti juridiskās domas attīstības tālākā nodrošināšanā. </w:t>
            </w:r>
          </w:p>
          <w:p w14:paraId="162BDF8C" w14:textId="77777777" w:rsidR="00C9653E" w:rsidRPr="007334AD" w:rsidRDefault="00C9653E" w:rsidP="00C9653E">
            <w:pPr>
              <w:spacing w:after="0" w:line="240" w:lineRule="auto"/>
              <w:jc w:val="both"/>
              <w:rPr>
                <w:rFonts w:ascii="Times New Roman" w:hAnsi="Times New Roman" w:cs="Times New Roman"/>
                <w:sz w:val="24"/>
                <w:szCs w:val="24"/>
                <w:highlight w:val="yellow"/>
              </w:rPr>
            </w:pPr>
            <w:r w:rsidRPr="007334AD">
              <w:rPr>
                <w:rFonts w:ascii="Times New Roman" w:hAnsi="Times New Roman" w:cs="Times New Roman"/>
                <w:sz w:val="24"/>
                <w:szCs w:val="24"/>
              </w:rPr>
              <w:lastRenderedPageBreak/>
              <w:t xml:space="preserve">Izvirzītie priekšlikumi noteic, ka Senāta tiesnesis atsevišķās domas izsaka </w:t>
            </w:r>
            <w:proofErr w:type="spellStart"/>
            <w:r w:rsidRPr="007334AD">
              <w:rPr>
                <w:rFonts w:ascii="Times New Roman" w:hAnsi="Times New Roman" w:cs="Times New Roman"/>
                <w:sz w:val="24"/>
                <w:szCs w:val="24"/>
              </w:rPr>
              <w:t>rakstveidā</w:t>
            </w:r>
            <w:proofErr w:type="spellEnd"/>
            <w:r w:rsidRPr="007334AD">
              <w:rPr>
                <w:rFonts w:ascii="Times New Roman" w:hAnsi="Times New Roman" w:cs="Times New Roman"/>
                <w:sz w:val="24"/>
                <w:szCs w:val="24"/>
              </w:rPr>
              <w:t xml:space="preserve"> 5 dienu laikā pēc lēmuma pieņemšanas. Šāda kārtība papildus nodrošinās to, ka atsevišķās domas neatstās sekas uz pieņemtā lēmuma autoritāti. Turklāt atsevišķo domu saturs attiecas tikai uz KPL 569., 572. un 584. panta robežām un nedrīkst attiekties uz personas vainīgumu. Tajās ietver tādus juridiskus apsvērumus, kas paplašinātā sastāva apspriedē ir koleģiāli apspriesti, taču nav atbalstīti gala secinājuma pieņemšanai. Atsevišķo domu mērķis nevar būt pretēja nolēmuma pieņemšana un tā atšķirīga interpretācija, vēl jo vairāk balstoties uz paplašinātā sastāva apspriedē neizteiktiem apsvērumiem. Izsakot atsevišķās domas, tiesnesis, ievērojot apspriedē nolemto, vispārināti tēžu veidā pauž savu viedokli un argumentus par juridiskiem iemesliem, kas uz lēmuma gala secinājumiem attiecas netieši. Tādējādi atsevišķajās domās izteiktie apsvērumi rosinātu juridisku diskusiju, nodrošinātu juridiskās domas turpmāku attīstību, kā arī nākotnē var būt pamats gan vienveidīgas tiesu prakses nostiprināšanai, gan arī judikatūras maiņai.</w:t>
            </w:r>
          </w:p>
          <w:p w14:paraId="2C2BC857" w14:textId="77777777" w:rsidR="00C9653E" w:rsidRPr="007334AD" w:rsidRDefault="00C9653E" w:rsidP="00C9653E">
            <w:pPr>
              <w:spacing w:after="0" w:line="240" w:lineRule="auto"/>
              <w:jc w:val="both"/>
              <w:rPr>
                <w:rFonts w:ascii="Times New Roman" w:hAnsi="Times New Roman" w:cs="Times New Roman"/>
                <w:bCs/>
                <w:sz w:val="24"/>
                <w:szCs w:val="24"/>
              </w:rPr>
            </w:pPr>
            <w:r w:rsidRPr="007334AD">
              <w:rPr>
                <w:rFonts w:ascii="Times New Roman" w:hAnsi="Times New Roman" w:cs="Times New Roman"/>
                <w:bCs/>
                <w:sz w:val="24"/>
                <w:szCs w:val="24"/>
              </w:rPr>
              <w:t>2012.gadā Eiropas Parlaments veica pētījumu par atšķirīgiem viedokļiem Eiropas Savienības dalībvalstu Augstākajās tiesās.</w:t>
            </w:r>
            <w:r w:rsidRPr="007334AD">
              <w:rPr>
                <w:rFonts w:ascii="Times New Roman" w:hAnsi="Times New Roman" w:cs="Times New Roman"/>
                <w:bCs/>
                <w:sz w:val="24"/>
                <w:szCs w:val="24"/>
                <w:vertAlign w:val="superscript"/>
              </w:rPr>
              <w:footnoteReference w:id="20"/>
            </w:r>
            <w:r w:rsidRPr="007334AD">
              <w:rPr>
                <w:rFonts w:ascii="Times New Roman" w:hAnsi="Times New Roman" w:cs="Times New Roman"/>
                <w:bCs/>
                <w:sz w:val="24"/>
                <w:szCs w:val="24"/>
              </w:rPr>
              <w:t xml:space="preserve"> Pētījumā ir iekļautas arī sadaļas „pret” vai „par” atsevišķo domu nepieciešamību.</w:t>
            </w:r>
          </w:p>
          <w:p w14:paraId="26B17A36"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Viens no izplatītākajiem argumentiem pret tiesnešu atsevišķo domu izteikšanu ir tiesas autoritātes aizsardzība, proti, tiesas taisīts nolēmums ir jārespektē. Parādot, ka starp tiesnešiem pastāv domstarpības, kā arī norādot uz apsvērumiem, kas var novest pie citādiem secinājumiem, nekā ietverti nolēmumā, var tikt grauta uzticība tiesu varai, mazināta nolēmuma un to taisījušās tiesas autoritāte. Atsevišķās domas var radīt sajūtu, ka lietā kaut kas vēl var mainīties un radīt iespaidu, ka nolēmums nav jāpilda. Tāpat tiesneša atsevišķo domu paušana tiek saistīta ar risku, ka tiesneši tās varētu izmantot savai publicitātei.</w:t>
            </w:r>
            <w:r w:rsidRPr="007334AD">
              <w:rPr>
                <w:rStyle w:val="Vresatsauce"/>
              </w:rPr>
              <w:footnoteReference w:id="21"/>
            </w:r>
            <w:r w:rsidRPr="007334AD">
              <w:rPr>
                <w:rFonts w:ascii="Times New Roman" w:hAnsi="Times New Roman" w:cs="Times New Roman"/>
                <w:sz w:val="24"/>
                <w:szCs w:val="24"/>
              </w:rPr>
              <w:t xml:space="preserve"> </w:t>
            </w:r>
          </w:p>
          <w:p w14:paraId="01AA43D6" w14:textId="77777777" w:rsidR="00C9653E" w:rsidRPr="007334AD" w:rsidRDefault="00C9653E" w:rsidP="00C9653E">
            <w:pPr>
              <w:spacing w:after="0" w:line="240" w:lineRule="auto"/>
              <w:jc w:val="both"/>
              <w:rPr>
                <w:rFonts w:ascii="Times New Roman" w:hAnsi="Times New Roman" w:cs="Times New Roman"/>
                <w:bCs/>
                <w:sz w:val="24"/>
                <w:szCs w:val="24"/>
              </w:rPr>
            </w:pPr>
            <w:r w:rsidRPr="007334AD">
              <w:rPr>
                <w:rFonts w:ascii="Times New Roman" w:hAnsi="Times New Roman" w:cs="Times New Roman"/>
                <w:sz w:val="24"/>
                <w:szCs w:val="24"/>
              </w:rPr>
              <w:t>Savukārt to, ka ir nepieciešams noteikt tiesības izteikt atsevišķās domas, pamato nepieciešamība garantēt</w:t>
            </w:r>
            <w:r w:rsidRPr="007334AD">
              <w:rPr>
                <w:rFonts w:ascii="Times New Roman" w:hAnsi="Times New Roman" w:cs="Times New Roman"/>
                <w:bCs/>
                <w:sz w:val="24"/>
                <w:szCs w:val="24"/>
              </w:rPr>
              <w:t xml:space="preserve"> tiesnešu iekšējo neatkarību, dialogu ar citām tiesu instancēm, kā arī tiesiskās kultūras attīstību.</w:t>
            </w:r>
            <w:r w:rsidRPr="007334AD">
              <w:rPr>
                <w:rFonts w:ascii="Times New Roman" w:hAnsi="Times New Roman" w:cs="Times New Roman"/>
                <w:bCs/>
                <w:sz w:val="24"/>
                <w:szCs w:val="24"/>
                <w:vertAlign w:val="superscript"/>
              </w:rPr>
              <w:footnoteReference w:id="22"/>
            </w:r>
            <w:r w:rsidRPr="007334AD">
              <w:rPr>
                <w:rFonts w:ascii="Times New Roman" w:hAnsi="Times New Roman" w:cs="Times New Roman"/>
                <w:bCs/>
                <w:sz w:val="24"/>
                <w:szCs w:val="24"/>
              </w:rPr>
              <w:t xml:space="preserve"> Tiesnešu atsevišķās domas piedalās tiesiskās sistēmas pilnveides procesos, veicinot tos ar atbildīgu tiesas vairākuma viedokļa kritiku.</w:t>
            </w:r>
            <w:r w:rsidRPr="007334AD">
              <w:rPr>
                <w:rFonts w:ascii="Times New Roman" w:hAnsi="Times New Roman" w:cs="Times New Roman"/>
                <w:bCs/>
                <w:sz w:val="24"/>
                <w:szCs w:val="24"/>
                <w:vertAlign w:val="superscript"/>
              </w:rPr>
              <w:footnoteReference w:id="23"/>
            </w:r>
            <w:r w:rsidRPr="007334AD">
              <w:rPr>
                <w:rFonts w:ascii="Times New Roman" w:hAnsi="Times New Roman" w:cs="Times New Roman"/>
                <w:bCs/>
                <w:sz w:val="24"/>
                <w:szCs w:val="24"/>
              </w:rPr>
              <w:t xml:space="preserve"> Tiesneša atšķirīgajam viedoklim savā ziņā var būt </w:t>
            </w:r>
            <w:proofErr w:type="spellStart"/>
            <w:r w:rsidRPr="007334AD">
              <w:rPr>
                <w:rFonts w:ascii="Times New Roman" w:hAnsi="Times New Roman" w:cs="Times New Roman"/>
                <w:bCs/>
                <w:sz w:val="24"/>
                <w:szCs w:val="24"/>
              </w:rPr>
              <w:t>proaktīva</w:t>
            </w:r>
            <w:proofErr w:type="spellEnd"/>
            <w:r w:rsidRPr="007334AD">
              <w:rPr>
                <w:rFonts w:ascii="Times New Roman" w:hAnsi="Times New Roman" w:cs="Times New Roman"/>
                <w:bCs/>
                <w:sz w:val="24"/>
                <w:szCs w:val="24"/>
              </w:rPr>
              <w:t xml:space="preserve"> likumdošanas funkcija.</w:t>
            </w:r>
            <w:r w:rsidRPr="007334AD">
              <w:rPr>
                <w:rFonts w:ascii="Times New Roman" w:hAnsi="Times New Roman" w:cs="Times New Roman"/>
                <w:bCs/>
                <w:sz w:val="24"/>
                <w:szCs w:val="24"/>
                <w:vertAlign w:val="superscript"/>
              </w:rPr>
              <w:footnoteReference w:id="24"/>
            </w:r>
            <w:r w:rsidRPr="007334AD">
              <w:rPr>
                <w:rFonts w:ascii="Times New Roman" w:hAnsi="Times New Roman" w:cs="Times New Roman"/>
                <w:bCs/>
                <w:sz w:val="24"/>
                <w:szCs w:val="24"/>
              </w:rPr>
              <w:t xml:space="preserve"> Tas ir, tiesneša atsevišķajās domās </w:t>
            </w:r>
            <w:r w:rsidRPr="007334AD">
              <w:rPr>
                <w:rFonts w:ascii="Times New Roman" w:hAnsi="Times New Roman" w:cs="Times New Roman"/>
                <w:bCs/>
                <w:sz w:val="24"/>
                <w:szCs w:val="24"/>
              </w:rPr>
              <w:lastRenderedPageBreak/>
              <w:t>paustais viedoklis ne tikai rosina diskutēt par noteiktu tematu, bet arī var vērst likumdevēja uzmanību uz pastāvošu diskutablu situāciju un niansēm, kuras pašreizējais tiesiskais regulējums neaptver, taču taisnīgai attiecību noregulēšanai tas būtu nepieciešams.</w:t>
            </w:r>
          </w:p>
          <w:p w14:paraId="7BF91087"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Iespēja paust atsevišķās domas nodrošina tiesnešu iekšējo intelektuālo neatkarību, t.sk., viņu neatkarību no pārējā tiesas sastāva, kā arī iespēju vērst uzmanību uz citu pamatojumu un secinājumiem. Tās veicina tiesu neatkarību un attiecīgi tiesu leģitimitāti sabiedrības acīs. Turklāt uzspiesta vienprātība tiesas nolēmuma pieņemšanā tiek uzskatīta par neproporcionālu līdzekli, ar ko sasniegt tiesnešu neatkarību.</w:t>
            </w:r>
            <w:r w:rsidRPr="007334AD">
              <w:rPr>
                <w:rStyle w:val="Vresatsauce"/>
              </w:rPr>
              <w:footnoteReference w:id="25"/>
            </w:r>
            <w:r w:rsidRPr="007334AD">
              <w:rPr>
                <w:rFonts w:ascii="Times New Roman" w:hAnsi="Times New Roman" w:cs="Times New Roman"/>
                <w:sz w:val="24"/>
                <w:szCs w:val="24"/>
              </w:rPr>
              <w:t xml:space="preserve"> </w:t>
            </w:r>
          </w:p>
          <w:p w14:paraId="1CFBF632"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Tiesnešu atsevišķās domas palīdz uzlabot gala nolēmuma kvalitāti un tādā veidā nodrošina tiesas autoritāti un pieņemtā nolēmuma skaidrību. Tiesas autoritātei jābalstās nevis uz noslēpumu, bet uz kvalitāti. Lai gan tiesnešu individuālo viedokļu slepenība tiek skaidrota kā līdzeklis, kas garantē tiesneša ārējo neatkarību</w:t>
            </w:r>
            <w:r w:rsidRPr="007334AD">
              <w:rPr>
                <w:rStyle w:val="Vresatsauce"/>
              </w:rPr>
              <w:footnoteReference w:id="26"/>
            </w:r>
            <w:r w:rsidRPr="007334AD">
              <w:rPr>
                <w:rFonts w:ascii="Times New Roman" w:hAnsi="Times New Roman" w:cs="Times New Roman"/>
                <w:sz w:val="24"/>
                <w:szCs w:val="24"/>
              </w:rPr>
              <w:t xml:space="preserve">, tā tiek raksturota kā tiesas vājuma pazīme, ja tās autoritāte tiek balstīta nevis uz racionālu un izsmeļošu argumentāciju, bet gan uz slepenību. Tieši pamatotības nosacījums tiek uzsvērts par visatbilstošāko demokrātiskai sabiedrībai. Nolēmumam jābūt ne vien autoritāram, bet arī autoritatīvam, tas ir, pietiekami izskaidrotam un pilnībā pamatotam. ASV Augstākās tiesas tiesnese Rūta </w:t>
            </w:r>
            <w:proofErr w:type="spellStart"/>
            <w:r w:rsidRPr="007334AD">
              <w:rPr>
                <w:rFonts w:ascii="Times New Roman" w:hAnsi="Times New Roman" w:cs="Times New Roman"/>
                <w:sz w:val="24"/>
                <w:szCs w:val="24"/>
              </w:rPr>
              <w:t>Beidere</w:t>
            </w:r>
            <w:proofErr w:type="spellEnd"/>
            <w:r w:rsidRPr="007334AD">
              <w:rPr>
                <w:rFonts w:ascii="Times New Roman" w:hAnsi="Times New Roman" w:cs="Times New Roman"/>
                <w:sz w:val="24"/>
                <w:szCs w:val="24"/>
              </w:rPr>
              <w:t xml:space="preserve"> </w:t>
            </w:r>
            <w:proofErr w:type="spellStart"/>
            <w:r w:rsidRPr="007334AD">
              <w:rPr>
                <w:rFonts w:ascii="Times New Roman" w:hAnsi="Times New Roman" w:cs="Times New Roman"/>
                <w:sz w:val="24"/>
                <w:szCs w:val="24"/>
              </w:rPr>
              <w:t>Ginsburga</w:t>
            </w:r>
            <w:proofErr w:type="spellEnd"/>
            <w:r w:rsidRPr="007334AD">
              <w:rPr>
                <w:rFonts w:ascii="Times New Roman" w:hAnsi="Times New Roman" w:cs="Times New Roman"/>
                <w:sz w:val="24"/>
                <w:szCs w:val="24"/>
              </w:rPr>
              <w:t xml:space="preserve"> (</w:t>
            </w:r>
            <w:proofErr w:type="spellStart"/>
            <w:r w:rsidRPr="007334AD">
              <w:rPr>
                <w:rFonts w:ascii="Times New Roman" w:hAnsi="Times New Roman" w:cs="Times New Roman"/>
                <w:i/>
                <w:sz w:val="24"/>
                <w:szCs w:val="24"/>
              </w:rPr>
              <w:t>Ruth</w:t>
            </w:r>
            <w:proofErr w:type="spellEnd"/>
            <w:r w:rsidRPr="007334AD">
              <w:rPr>
                <w:rFonts w:ascii="Times New Roman" w:hAnsi="Times New Roman" w:cs="Times New Roman"/>
                <w:i/>
                <w:sz w:val="24"/>
                <w:szCs w:val="24"/>
              </w:rPr>
              <w:t xml:space="preserve"> </w:t>
            </w:r>
            <w:proofErr w:type="spellStart"/>
            <w:r w:rsidRPr="007334AD">
              <w:rPr>
                <w:rFonts w:ascii="Times New Roman" w:hAnsi="Times New Roman" w:cs="Times New Roman"/>
                <w:i/>
                <w:sz w:val="24"/>
                <w:szCs w:val="24"/>
              </w:rPr>
              <w:t>Bader</w:t>
            </w:r>
            <w:proofErr w:type="spellEnd"/>
            <w:r w:rsidRPr="007334AD">
              <w:rPr>
                <w:rFonts w:ascii="Times New Roman" w:hAnsi="Times New Roman" w:cs="Times New Roman"/>
                <w:i/>
                <w:sz w:val="24"/>
                <w:szCs w:val="24"/>
              </w:rPr>
              <w:t xml:space="preserve"> </w:t>
            </w:r>
            <w:proofErr w:type="spellStart"/>
            <w:r w:rsidRPr="007334AD">
              <w:rPr>
                <w:rFonts w:ascii="Times New Roman" w:hAnsi="Times New Roman" w:cs="Times New Roman"/>
                <w:i/>
                <w:sz w:val="24"/>
                <w:szCs w:val="24"/>
              </w:rPr>
              <w:t>Ginsburg</w:t>
            </w:r>
            <w:proofErr w:type="spellEnd"/>
            <w:r w:rsidRPr="007334AD">
              <w:rPr>
                <w:rFonts w:ascii="Times New Roman" w:hAnsi="Times New Roman" w:cs="Times New Roman"/>
                <w:sz w:val="24"/>
                <w:szCs w:val="24"/>
              </w:rPr>
              <w:t>) ir norādījusi, ka nav nekas labāks par iespaidīgām atsevišķajām domām, kas liek vairākuma viedokļa autoram uzlabot un precizēt viņa sākotnējo pozīciju.</w:t>
            </w:r>
            <w:r w:rsidRPr="007334AD">
              <w:rPr>
                <w:rStyle w:val="Vresatsauce"/>
              </w:rPr>
              <w:footnoteReference w:id="27"/>
            </w:r>
            <w:r w:rsidRPr="007334AD">
              <w:rPr>
                <w:rFonts w:ascii="Times New Roman" w:hAnsi="Times New Roman" w:cs="Times New Roman"/>
                <w:sz w:val="24"/>
                <w:szCs w:val="24"/>
              </w:rPr>
              <w:t xml:space="preserve"> </w:t>
            </w:r>
          </w:p>
          <w:p w14:paraId="09209171"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Tiesības izteikt atsevišķās domas nodrošina, ka tiesnešiem nolēmumā nav par katru cenu jāpanāk kompromiss un vienprātība. Tādā veidā galīgais nolēmums kļūst racionāli saskaņots un skaidri saprotams. Mēģinājumi sasniegt vienprātību nereti ir pamats tam, kādēļ tiesu nolēmumi ir neskaidri, jo, lai tiesas sastāva vidū radītu vienprātību, tajos tiek iekļauti dažādi papildu skaidrojumi. Šādos gadījumos ir labāk, ja tiesa pieņem skaidru nolēmumu (kura pamatojums ir saprotams un viegli pārskatāms), kuram tiek pievienotas atsevišķās domas, nevis tiek pieņemts nolēmums, kurā iekļauti dažādi atšķirīgi uzskati, un nav saprotams, kurš no tiem dominē.</w:t>
            </w:r>
            <w:r w:rsidRPr="007334AD">
              <w:rPr>
                <w:rStyle w:val="Vresatsauce"/>
              </w:rPr>
              <w:footnoteReference w:id="28"/>
            </w:r>
            <w:r w:rsidRPr="007334AD">
              <w:rPr>
                <w:rFonts w:ascii="Times New Roman" w:hAnsi="Times New Roman" w:cs="Times New Roman"/>
                <w:sz w:val="24"/>
                <w:szCs w:val="24"/>
              </w:rPr>
              <w:t xml:space="preserve"> </w:t>
            </w:r>
          </w:p>
          <w:p w14:paraId="41785525" w14:textId="77777777" w:rsidR="00C9653E" w:rsidRPr="007334AD" w:rsidRDefault="00C9653E" w:rsidP="00C9653E">
            <w:pPr>
              <w:spacing w:after="0" w:line="240" w:lineRule="auto"/>
              <w:jc w:val="both"/>
              <w:rPr>
                <w:rFonts w:ascii="Times New Roman" w:hAnsi="Times New Roman" w:cs="Times New Roman"/>
                <w:sz w:val="24"/>
                <w:szCs w:val="24"/>
                <w:vertAlign w:val="superscript"/>
              </w:rPr>
            </w:pPr>
            <w:r w:rsidRPr="007334AD">
              <w:rPr>
                <w:rFonts w:ascii="Times New Roman" w:hAnsi="Times New Roman" w:cs="Times New Roman"/>
                <w:sz w:val="24"/>
                <w:szCs w:val="24"/>
              </w:rPr>
              <w:t xml:space="preserve">Tiesnešu atsevišķās domas veicina debates par juridiskiem jautājumiem, tās rosina izmantot atšķirīgas idejas un to pamatā esošas metodes, kas vērš uzmanību uz pastāvošajām </w:t>
            </w:r>
            <w:r w:rsidRPr="007334AD">
              <w:rPr>
                <w:rFonts w:ascii="Times New Roman" w:hAnsi="Times New Roman" w:cs="Times New Roman"/>
                <w:sz w:val="24"/>
                <w:szCs w:val="24"/>
              </w:rPr>
              <w:lastRenderedPageBreak/>
              <w:t>alternatīvām. Atsevišķās domas garantē, ka nolēmuma pieņemšanas procesā tiesneši pieņem vispārliecinošāko nolēmumu. Atsevišķās domas tiek uzskatītas par līdzekli, kas veicina dialogu starp tiesu, likumdevēju un juristiem. Tajās var būt ietverti tādi argumenti, ko juristi vai zemākas instances tiesas var izmantot līdzīgās nākamajās lietās; tāpat tās var vērst uzmanību, ka nepieciešami grozījumi normatīvajos aktos, uzsverot, ka attiecīgajā brīdī tiesību normas var tikt interpretētas veidā, kas ir pretējs tiesību aktā ietvertajai likumdevēja gribai. Dialogs, kurā ietilpst arī atsevišķās domas, sekmē, ka tiek veikti uzlabojumi tiesību sistēmā, un nodrošina, ka pieņemtie nolēmumi ir pilnībā likumīgi un pamatoti.</w:t>
            </w:r>
            <w:r w:rsidRPr="007334AD">
              <w:rPr>
                <w:rStyle w:val="Vresatsauce"/>
              </w:rPr>
              <w:footnoteReference w:id="29"/>
            </w:r>
            <w:r w:rsidRPr="007334AD">
              <w:rPr>
                <w:rFonts w:ascii="Times New Roman" w:hAnsi="Times New Roman" w:cs="Times New Roman"/>
                <w:sz w:val="24"/>
                <w:szCs w:val="24"/>
              </w:rPr>
              <w:t xml:space="preserve"> Piemēram, senators Normunds Salenieks 2011.gada 2.februārī, izskatot protestus lietās Nr. SPC-3/2011 un SPC-4/2011 par juridiska fakta konstatēšanu, izteicis savas atsevišķās domas, kas sakrita ar sekojošajiem 2011.gada 31.marta grozījumiem likuma „Par politiski represētas personas statusa noteikšanu komunistiskajā un nacistiskajā režīmā cietušajiem” 11.pantā.</w:t>
            </w:r>
            <w:r w:rsidRPr="007334AD">
              <w:rPr>
                <w:rFonts w:ascii="Times New Roman" w:hAnsi="Times New Roman" w:cs="Times New Roman"/>
                <w:sz w:val="24"/>
                <w:szCs w:val="24"/>
                <w:vertAlign w:val="superscript"/>
              </w:rPr>
              <w:footnoteReference w:id="30"/>
            </w:r>
            <w:r w:rsidRPr="007334AD">
              <w:rPr>
                <w:rFonts w:ascii="Times New Roman" w:hAnsi="Times New Roman" w:cs="Times New Roman"/>
                <w:sz w:val="24"/>
                <w:szCs w:val="24"/>
                <w:vertAlign w:val="superscript"/>
              </w:rPr>
              <w:t>,</w:t>
            </w:r>
            <w:r w:rsidRPr="007334AD">
              <w:rPr>
                <w:rFonts w:ascii="Times New Roman" w:hAnsi="Times New Roman" w:cs="Times New Roman"/>
                <w:sz w:val="24"/>
                <w:szCs w:val="24"/>
                <w:vertAlign w:val="superscript"/>
              </w:rPr>
              <w:footnoteReference w:id="31"/>
            </w:r>
          </w:p>
          <w:p w14:paraId="40675604"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Konstatētie neviennozīmīgie juridiskie apstākļi un citas juridiskas nianses, kas liek uz šobrīd spēkā esošo normatīvo regulējumu paraudzīties arī no citiem aspektiem, netiek atspoguļotas ne tikai pieņemtajā lēmumā, bet tiek paturētas absolūtā slepenībā. Tādā veidā faktiski tiek kavēta </w:t>
            </w:r>
            <w:proofErr w:type="spellStart"/>
            <w:r w:rsidRPr="007334AD">
              <w:rPr>
                <w:rFonts w:ascii="Times New Roman" w:hAnsi="Times New Roman" w:cs="Times New Roman"/>
                <w:sz w:val="24"/>
                <w:szCs w:val="24"/>
              </w:rPr>
              <w:t>šībrīža</w:t>
            </w:r>
            <w:proofErr w:type="spellEnd"/>
            <w:r w:rsidRPr="007334AD">
              <w:rPr>
                <w:rFonts w:ascii="Times New Roman" w:hAnsi="Times New Roman" w:cs="Times New Roman"/>
                <w:sz w:val="24"/>
                <w:szCs w:val="24"/>
              </w:rPr>
              <w:t xml:space="preserve"> laikmetam tik nepieciešamā juridiskās domas attīstība. Atsevišķo domu ieviešana KPL 54.nodaļā būtu visefektīvākais veids, kā nodrošināt ne tikai skaidra un pārliecinoša un vispārināta lēmuma pieņemšanu, bet arī demokrātiskai un tiesiskai valstij nepieciešamo juridiskās domas virzību un tiesiskās sistēmas pilnveidi kopumā.</w:t>
            </w:r>
          </w:p>
          <w:p w14:paraId="575BAEAB" w14:textId="77777777" w:rsidR="00C9653E" w:rsidRPr="00C9653E" w:rsidRDefault="00C9653E" w:rsidP="00C9653E">
            <w:pPr>
              <w:spacing w:after="0" w:line="240" w:lineRule="auto"/>
              <w:jc w:val="both"/>
              <w:rPr>
                <w:rFonts w:ascii="Arial" w:hAnsi="Arial" w:cs="Arial"/>
              </w:rPr>
            </w:pPr>
            <w:r w:rsidRPr="00C9653E">
              <w:rPr>
                <w:rFonts w:ascii="Times New Roman" w:hAnsi="Times New Roman" w:cs="Times New Roman"/>
                <w:sz w:val="24"/>
                <w:szCs w:val="24"/>
              </w:rPr>
              <w:t>Atsevišķās domas būs publiski pieejamas, vienlaikus nodrošinot ar likumiem noteiktās informācijas aizsardzību, kā tas šobrīd ir paredzēts KPL 375. panta otrajā daļā attiecībā uz galīgo tiesas nolēmumu.</w:t>
            </w:r>
            <w:r w:rsidRPr="00C9653E">
              <w:rPr>
                <w:rFonts w:ascii="Arial" w:hAnsi="Arial" w:cs="Arial"/>
              </w:rPr>
              <w:t xml:space="preserve"> </w:t>
            </w:r>
          </w:p>
          <w:p w14:paraId="7348C071" w14:textId="77777777" w:rsidR="00C9653E" w:rsidRPr="007334AD" w:rsidRDefault="00C9653E" w:rsidP="00C9653E">
            <w:pPr>
              <w:spacing w:after="0" w:line="240" w:lineRule="auto"/>
              <w:jc w:val="both"/>
              <w:rPr>
                <w:rFonts w:ascii="Times New Roman" w:hAnsi="Times New Roman" w:cs="Times New Roman"/>
                <w:sz w:val="24"/>
                <w:szCs w:val="24"/>
              </w:rPr>
            </w:pPr>
            <w:r w:rsidRPr="00C9653E">
              <w:rPr>
                <w:rFonts w:ascii="Times New Roman" w:hAnsi="Times New Roman" w:cs="Times New Roman"/>
                <w:sz w:val="24"/>
                <w:szCs w:val="24"/>
              </w:rPr>
              <w:t>Norādāms, ka KPL 516. pantā regulētās tiesneša atsevišķās domas attiecās uz apelācijas instances tiesu un tas netiek mainīts, savukārt KPL 587. pantā noteiktās atsevišķās domas ir speciāls regulējums tikai attiecībā uz kasācijas instanci.</w:t>
            </w:r>
            <w:r w:rsidRPr="007334AD">
              <w:rPr>
                <w:rFonts w:ascii="Times New Roman" w:hAnsi="Times New Roman" w:cs="Times New Roman"/>
                <w:sz w:val="24"/>
                <w:szCs w:val="24"/>
              </w:rPr>
              <w:t xml:space="preserve"> </w:t>
            </w:r>
          </w:p>
          <w:p w14:paraId="50D0241E" w14:textId="5C0677C1" w:rsidR="000F5E4B" w:rsidRDefault="000F5E4B" w:rsidP="00B02AB4">
            <w:pPr>
              <w:shd w:val="clear" w:color="auto" w:fill="FFFFFF"/>
              <w:spacing w:after="0" w:line="240" w:lineRule="auto"/>
              <w:jc w:val="both"/>
              <w:rPr>
                <w:rFonts w:ascii="Times New Roman" w:hAnsi="Times New Roman" w:cs="Times New Roman"/>
                <w:b/>
                <w:bCs/>
                <w:sz w:val="24"/>
                <w:szCs w:val="24"/>
                <w:shd w:val="clear" w:color="auto" w:fill="FFFFFF"/>
              </w:rPr>
            </w:pPr>
          </w:p>
          <w:p w14:paraId="7F2D0452" w14:textId="054F75C5" w:rsidR="000F5E4B" w:rsidRDefault="000F5E4B" w:rsidP="00B02AB4">
            <w:pPr>
              <w:shd w:val="clear" w:color="auto" w:fill="FFFFFF"/>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Par vienošanās procesā pieņemto lēmumu sūdzības izskatīšanas kompetences maiņu. </w:t>
            </w:r>
          </w:p>
          <w:p w14:paraId="74FDFDED" w14:textId="77777777" w:rsidR="00C9653E" w:rsidRPr="00C9653E" w:rsidRDefault="00C9653E" w:rsidP="00C9653E">
            <w:pPr>
              <w:spacing w:after="0" w:line="240" w:lineRule="auto"/>
              <w:jc w:val="both"/>
              <w:rPr>
                <w:rFonts w:ascii="Times New Roman" w:hAnsi="Times New Roman" w:cs="Times New Roman"/>
                <w:sz w:val="24"/>
                <w:szCs w:val="24"/>
              </w:rPr>
            </w:pPr>
            <w:r w:rsidRPr="00C9653E">
              <w:rPr>
                <w:rFonts w:ascii="Times New Roman" w:hAnsi="Times New Roman" w:cs="Times New Roman"/>
                <w:sz w:val="24"/>
                <w:szCs w:val="24"/>
              </w:rPr>
              <w:t xml:space="preserve">Grozījumi </w:t>
            </w:r>
            <w:r w:rsidRPr="00C9653E">
              <w:rPr>
                <w:rFonts w:ascii="Times New Roman" w:hAnsi="Times New Roman" w:cs="Times New Roman"/>
                <w:b/>
                <w:bCs/>
                <w:sz w:val="24"/>
                <w:szCs w:val="24"/>
              </w:rPr>
              <w:t xml:space="preserve">KPL 435. panta 9. punktā, 436. panta otrās daļas 5.punktā, 436. panta otrās daļas 6.punktā, </w:t>
            </w:r>
            <w:r w:rsidRPr="00C9653E">
              <w:rPr>
                <w:rFonts w:ascii="Times New Roman" w:hAnsi="Times New Roman" w:cs="Times New Roman"/>
                <w:b/>
                <w:bCs/>
                <w:sz w:val="24"/>
                <w:szCs w:val="24"/>
              </w:rPr>
              <w:lastRenderedPageBreak/>
              <w:t>540.</w:t>
            </w:r>
            <w:r w:rsidRPr="00C9653E">
              <w:rPr>
                <w:rFonts w:ascii="Times New Roman" w:hAnsi="Times New Roman" w:cs="Times New Roman"/>
                <w:b/>
                <w:bCs/>
                <w:sz w:val="24"/>
                <w:szCs w:val="24"/>
                <w:vertAlign w:val="superscript"/>
              </w:rPr>
              <w:t>1 </w:t>
            </w:r>
            <w:r w:rsidRPr="00C9653E">
              <w:rPr>
                <w:rFonts w:ascii="Times New Roman" w:hAnsi="Times New Roman" w:cs="Times New Roman"/>
                <w:b/>
                <w:bCs/>
                <w:sz w:val="24"/>
                <w:szCs w:val="24"/>
              </w:rPr>
              <w:t>panta septītajā daļā, 542. pantā, 543. panta trešās daļas 13.punktā, 548.</w:t>
            </w:r>
            <w:r w:rsidRPr="00C9653E">
              <w:rPr>
                <w:rFonts w:ascii="Times New Roman" w:hAnsi="Times New Roman" w:cs="Times New Roman"/>
                <w:b/>
                <w:bCs/>
                <w:sz w:val="24"/>
                <w:szCs w:val="24"/>
                <w:vertAlign w:val="superscript"/>
              </w:rPr>
              <w:t>2 </w:t>
            </w:r>
            <w:r w:rsidRPr="00C9653E">
              <w:rPr>
                <w:rFonts w:ascii="Times New Roman" w:hAnsi="Times New Roman" w:cs="Times New Roman"/>
                <w:b/>
                <w:bCs/>
                <w:sz w:val="24"/>
                <w:szCs w:val="24"/>
              </w:rPr>
              <w:t>panta otrajā daļā, 548.</w:t>
            </w:r>
            <w:r w:rsidRPr="00C9653E">
              <w:rPr>
                <w:rFonts w:ascii="Times New Roman" w:hAnsi="Times New Roman" w:cs="Times New Roman"/>
                <w:b/>
                <w:bCs/>
                <w:sz w:val="24"/>
                <w:szCs w:val="24"/>
                <w:vertAlign w:val="superscript"/>
              </w:rPr>
              <w:t>3 </w:t>
            </w:r>
            <w:r w:rsidRPr="00C9653E">
              <w:rPr>
                <w:rFonts w:ascii="Times New Roman" w:hAnsi="Times New Roman" w:cs="Times New Roman"/>
                <w:b/>
                <w:bCs/>
                <w:sz w:val="24"/>
                <w:szCs w:val="24"/>
              </w:rPr>
              <w:t>panta sestajā daļā un 569. panta otrajā daļā</w:t>
            </w:r>
            <w:r w:rsidRPr="00C9653E">
              <w:rPr>
                <w:rFonts w:ascii="Times New Roman" w:hAnsi="Times New Roman" w:cs="Times New Roman"/>
                <w:sz w:val="24"/>
                <w:szCs w:val="24"/>
              </w:rPr>
              <w:t xml:space="preserve"> paredz noteikt, ka fiziskas personas vienošanās procesā pirmās instances tiesas pieņemtu nolēmumu pārsūdz tikai apelācijas instances tiesā par vienošanās procesa kārtības pārkāpumiem vai Krimināllikuma normu pārkāpumiem. Tāpat ar minēto sistēmiski ir saistīta arī pirmās instances tiesas nolēmumu pārsūdzība krimināllietās, kurās slēgtas vienošanās par piespiedu ietekmēšanas līdzekļu piemērošanu juridiskām personām. </w:t>
            </w:r>
          </w:p>
          <w:p w14:paraId="4F036F79" w14:textId="7158DEAE" w:rsidR="00C9653E"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Apelācijas instances tiesa sūdzības vai protestus izskatīs KPL 561.</w:t>
            </w:r>
            <w:r w:rsidRPr="007334AD">
              <w:rPr>
                <w:rFonts w:ascii="Times New Roman" w:hAnsi="Times New Roman" w:cs="Times New Roman"/>
                <w:sz w:val="24"/>
                <w:szCs w:val="24"/>
                <w:vertAlign w:val="superscript"/>
              </w:rPr>
              <w:t>1 </w:t>
            </w:r>
            <w:r w:rsidRPr="007334AD">
              <w:rPr>
                <w:rFonts w:ascii="Times New Roman" w:hAnsi="Times New Roman" w:cs="Times New Roman"/>
                <w:sz w:val="24"/>
                <w:szCs w:val="24"/>
              </w:rPr>
              <w:t>panta kārtībā un pieņems vienu no 563.panta 1.</w:t>
            </w:r>
            <w:r w:rsidRPr="007334AD">
              <w:rPr>
                <w:rFonts w:ascii="Times New Roman" w:hAnsi="Times New Roman" w:cs="Times New Roman"/>
                <w:sz w:val="24"/>
                <w:szCs w:val="24"/>
                <w:vertAlign w:val="superscript"/>
              </w:rPr>
              <w:t>1 </w:t>
            </w:r>
            <w:r w:rsidRPr="007334AD">
              <w:rPr>
                <w:rFonts w:ascii="Times New Roman" w:hAnsi="Times New Roman" w:cs="Times New Roman"/>
                <w:sz w:val="24"/>
                <w:szCs w:val="24"/>
              </w:rPr>
              <w:t>daļā noteiktajiem nolēmumiem.</w:t>
            </w:r>
            <w:r w:rsidR="007F4E88">
              <w:rPr>
                <w:rFonts w:ascii="Times New Roman" w:hAnsi="Times New Roman" w:cs="Times New Roman"/>
                <w:sz w:val="24"/>
                <w:szCs w:val="24"/>
              </w:rPr>
              <w:t xml:space="preserve"> </w:t>
            </w:r>
          </w:p>
          <w:p w14:paraId="7963B8E3" w14:textId="28B128A2" w:rsidR="007F4E88" w:rsidRDefault="007F4E88" w:rsidP="00C96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Norādāms, ka lietu izskatīšana krimināllietās, kurās slēgta vienošanās nebūs lietas izskatīšana apelācijas instances tiesā pēc savas juridiskās dabas, jo lieta netiks atkārtoti izskatīta pēc būtības, bet gan ierobežoti izskatīta tikai saistībā ar juridiskiem pārkāpumiem., proti ierobežota apelācija.</w:t>
            </w:r>
          </w:p>
          <w:p w14:paraId="51D850E5" w14:textId="77777777" w:rsidR="00C9653E" w:rsidRPr="007334AD" w:rsidRDefault="00C9653E" w:rsidP="00C9653E">
            <w:pPr>
              <w:spacing w:after="0" w:line="240" w:lineRule="auto"/>
              <w:jc w:val="both"/>
              <w:rPr>
                <w:rFonts w:ascii="Times New Roman" w:hAnsi="Times New Roman" w:cs="Times New Roman"/>
                <w:b/>
                <w:i/>
                <w:iCs/>
                <w:sz w:val="24"/>
                <w:szCs w:val="24"/>
              </w:rPr>
            </w:pPr>
            <w:r w:rsidRPr="007334AD">
              <w:rPr>
                <w:rFonts w:ascii="Times New Roman" w:hAnsi="Times New Roman" w:cs="Times New Roman"/>
                <w:b/>
                <w:i/>
                <w:iCs/>
                <w:sz w:val="24"/>
                <w:szCs w:val="24"/>
              </w:rPr>
              <w:t>Par vienošanās procesa būtību, raksturu un pašreizējo kārtību.</w:t>
            </w:r>
          </w:p>
          <w:p w14:paraId="72A43628"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Vienošanās process ir viena no vienkāršotajām kriminālprocesa formām. Likumdevējs atbilstoši Satversmes 92.panta otrajam teikumam un KPL 19.pantā nostiprinātajam nevainīguma prezumpcijas principam paredzējis, ka personas vainu noziedzīga nodarījuma izdarīšanā konstatē KPL noteiktajā kārtībā. Tādēļ arī vienošanās procesos noslēgtas vienošanās apstiprina tiesa. </w:t>
            </w:r>
          </w:p>
          <w:p w14:paraId="20BE9BFD"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Likumdevējs vienošanās procesos gan attiecībā uz fizisku personu, gan arī uz juridiskai personai piemērotu piespiedu ietekmēšanas līdzekli pirmās instances tiesas pieņemtu nolēmumu ir paredzējis pārsūdzēt tikai kasācijas instancē. Vienošanās procesā netiek vērtēts jautājums par faktiskajiem apstākļiem un pierādījumiem. Vienošanās procesā ir noteikta lietas izskatīšana tikai divās tiesu instancēs. Tādēļ pārsūdzības priekšmets var būt tikai juridiski iemesli – vai </w:t>
            </w:r>
            <w:proofErr w:type="spellStart"/>
            <w:r w:rsidRPr="007334AD">
              <w:rPr>
                <w:rFonts w:ascii="Times New Roman" w:hAnsi="Times New Roman" w:cs="Times New Roman"/>
                <w:sz w:val="24"/>
                <w:szCs w:val="24"/>
              </w:rPr>
              <w:t>pirmstiesas</w:t>
            </w:r>
            <w:proofErr w:type="spellEnd"/>
            <w:r w:rsidRPr="007334AD">
              <w:rPr>
                <w:rFonts w:ascii="Times New Roman" w:hAnsi="Times New Roman" w:cs="Times New Roman"/>
                <w:sz w:val="24"/>
                <w:szCs w:val="24"/>
              </w:rPr>
              <w:t xml:space="preserve"> procesā vienošanās ir noslēgta KPL noteiktajā kārtībā un nav pieļauts KL normu pārkāpums. </w:t>
            </w:r>
          </w:p>
          <w:p w14:paraId="4B72EB56"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Vienošanās procesā, ņemot vērā, ka apsūdzētais vainu ir atzinis vai ka juridiskā persona atzinusi noziedzīga nodarījuma izdarīšanas faktu, lieta netiek skatīta pēc būtības un netiek vērtēti pierādījumi, kā tas notiek vispārējā kārtībā. Tas nozīmē, ka vienošanās procesā lieta pēc būtības netiek izlemta. Tā ietvaros ar tiesas nolēmumu tiek apstiprināta starp prokuroru un apsūdzēto noslēgtā vienošanās par vainas atzīšanu un sodu vai juridiskas personas gadījumā par piespiedu ietekmēšanas līdzekļa piemērošanu juridiskajai personai.</w:t>
            </w:r>
          </w:p>
          <w:p w14:paraId="12BB2573"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Regulējums, kas noteic pirmās instances tiesas vienošanās procesā pieņemta nolēmuma pārsūdzību tikai kasācijas </w:t>
            </w:r>
            <w:r w:rsidRPr="007334AD">
              <w:rPr>
                <w:rFonts w:ascii="Times New Roman" w:hAnsi="Times New Roman" w:cs="Times New Roman"/>
                <w:sz w:val="24"/>
                <w:szCs w:val="24"/>
              </w:rPr>
              <w:lastRenderedPageBreak/>
              <w:t xml:space="preserve">kārtībā, ir pārņemts no Latvijas Kriminālprocesa kodeksa. Arī KPL </w:t>
            </w:r>
            <w:r w:rsidRPr="007334AD">
              <w:rPr>
                <w:rFonts w:ascii="Times New Roman" w:hAnsi="Times New Roman" w:cs="Times New Roman"/>
                <w:bCs/>
                <w:sz w:val="24"/>
                <w:szCs w:val="24"/>
              </w:rPr>
              <w:t>548.</w:t>
            </w:r>
            <w:r w:rsidRPr="007334AD">
              <w:rPr>
                <w:rFonts w:ascii="Times New Roman" w:hAnsi="Times New Roman" w:cs="Times New Roman"/>
                <w:bCs/>
                <w:sz w:val="24"/>
                <w:szCs w:val="24"/>
                <w:vertAlign w:val="superscript"/>
              </w:rPr>
              <w:t>1</w:t>
            </w:r>
            <w:r w:rsidRPr="007334AD">
              <w:rPr>
                <w:rFonts w:ascii="Times New Roman" w:hAnsi="Times New Roman" w:cs="Times New Roman"/>
                <w:b/>
                <w:bCs/>
                <w:sz w:val="24"/>
                <w:szCs w:val="24"/>
                <w:vertAlign w:val="superscript"/>
              </w:rPr>
              <w:t xml:space="preserve"> </w:t>
            </w:r>
            <w:r w:rsidRPr="007334AD">
              <w:rPr>
                <w:rFonts w:ascii="Times New Roman" w:hAnsi="Times New Roman" w:cs="Times New Roman"/>
                <w:bCs/>
                <w:sz w:val="24"/>
                <w:szCs w:val="24"/>
              </w:rPr>
              <w:t>līdz 548.</w:t>
            </w:r>
            <w:r w:rsidRPr="007334AD">
              <w:rPr>
                <w:rFonts w:ascii="Times New Roman" w:hAnsi="Times New Roman" w:cs="Times New Roman"/>
                <w:bCs/>
                <w:sz w:val="24"/>
                <w:szCs w:val="24"/>
                <w:vertAlign w:val="superscript"/>
              </w:rPr>
              <w:t>3</w:t>
            </w:r>
            <w:r w:rsidRPr="007334AD">
              <w:rPr>
                <w:rFonts w:ascii="Times New Roman" w:hAnsi="Times New Roman" w:cs="Times New Roman"/>
                <w:b/>
                <w:bCs/>
                <w:sz w:val="24"/>
                <w:szCs w:val="24"/>
                <w:vertAlign w:val="superscript"/>
              </w:rPr>
              <w:t xml:space="preserve"> </w:t>
            </w:r>
            <w:r w:rsidRPr="007334AD">
              <w:rPr>
                <w:rFonts w:ascii="Times New Roman" w:hAnsi="Times New Roman" w:cs="Times New Roman"/>
                <w:bCs/>
                <w:sz w:val="24"/>
                <w:szCs w:val="24"/>
              </w:rPr>
              <w:t xml:space="preserve">pantā noteiktā kārtība vienošanās </w:t>
            </w:r>
            <w:r w:rsidRPr="007334AD">
              <w:rPr>
                <w:rFonts w:ascii="Times New Roman" w:hAnsi="Times New Roman" w:cs="Times New Roman"/>
                <w:sz w:val="24"/>
                <w:szCs w:val="24"/>
              </w:rPr>
              <w:t>procesā par piespiedu ietekmēšanas līdzekļa piemērošanu juridiskai personai tika izveidota, sistēmiski par pamatu ņemot fiziskas personas vienošanās procesā noteikto kārtību un pamatprincipus.</w:t>
            </w:r>
            <w:r w:rsidRPr="007334AD">
              <w:rPr>
                <w:rStyle w:val="Vresatsauce"/>
              </w:rPr>
              <w:footnoteReference w:id="32"/>
            </w:r>
            <w:r w:rsidRPr="007334AD">
              <w:rPr>
                <w:rFonts w:ascii="Times New Roman" w:hAnsi="Times New Roman" w:cs="Times New Roman"/>
                <w:sz w:val="24"/>
                <w:szCs w:val="24"/>
              </w:rPr>
              <w:t xml:space="preserve"> </w:t>
            </w:r>
          </w:p>
          <w:p w14:paraId="30987323" w14:textId="77777777" w:rsidR="00C9653E" w:rsidRPr="007334AD" w:rsidRDefault="00C9653E" w:rsidP="00C9653E">
            <w:pPr>
              <w:pStyle w:val="Sarakstarindkopa"/>
              <w:spacing w:after="0" w:line="240" w:lineRule="auto"/>
              <w:ind w:left="0"/>
              <w:contextualSpacing w:val="0"/>
              <w:jc w:val="both"/>
              <w:rPr>
                <w:rFonts w:ascii="Times New Roman" w:hAnsi="Times New Roman" w:cs="Times New Roman"/>
                <w:b/>
                <w:i/>
                <w:iCs/>
                <w:sz w:val="24"/>
                <w:szCs w:val="24"/>
              </w:rPr>
            </w:pPr>
            <w:r w:rsidRPr="007334AD">
              <w:rPr>
                <w:rFonts w:ascii="Times New Roman" w:hAnsi="Times New Roman" w:cs="Times New Roman"/>
                <w:b/>
                <w:i/>
                <w:iCs/>
                <w:sz w:val="24"/>
                <w:szCs w:val="24"/>
              </w:rPr>
              <w:t>Par Senāta Krimināllietu departamenta kompetenci.</w:t>
            </w:r>
          </w:p>
          <w:p w14:paraId="6385CEB1"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Pirmajā instancē tiek vērtēti visi lietas apstākļi, pārbaudīti un analizēti pierādījumi un lieta tiek izspriesta pēc būtības. Apelācijas instances tiesa pārbauda pirmās instances tiesas nolēmuma pamatotību un tiesiskumu. Šī pārbaude ietver lietas izspriešanu pēc būtības un var noslēgties ar to, ka apelācijas instances tiesa pievienojas pirmās instances tiesas nolēmuma pamatojumam vai arī taisa jaunu nolēmumu. Savukārt kasācijas instances tiesā tiek vērtēti tikai </w:t>
            </w:r>
            <w:proofErr w:type="spellStart"/>
            <w:r w:rsidRPr="007334AD">
              <w:rPr>
                <w:rFonts w:ascii="Times New Roman" w:hAnsi="Times New Roman" w:cs="Times New Roman"/>
                <w:i/>
                <w:iCs/>
                <w:sz w:val="24"/>
                <w:szCs w:val="24"/>
              </w:rPr>
              <w:t>quaestiones</w:t>
            </w:r>
            <w:proofErr w:type="spellEnd"/>
            <w:r w:rsidRPr="007334AD">
              <w:rPr>
                <w:rFonts w:ascii="Times New Roman" w:hAnsi="Times New Roman" w:cs="Times New Roman"/>
                <w:i/>
                <w:iCs/>
                <w:sz w:val="24"/>
                <w:szCs w:val="24"/>
              </w:rPr>
              <w:t xml:space="preserve"> </w:t>
            </w:r>
            <w:proofErr w:type="spellStart"/>
            <w:r w:rsidRPr="007334AD">
              <w:rPr>
                <w:rFonts w:ascii="Times New Roman" w:hAnsi="Times New Roman" w:cs="Times New Roman"/>
                <w:i/>
                <w:iCs/>
                <w:sz w:val="24"/>
                <w:szCs w:val="24"/>
              </w:rPr>
              <w:t>iuris</w:t>
            </w:r>
            <w:proofErr w:type="spellEnd"/>
            <w:r w:rsidRPr="007334AD">
              <w:rPr>
                <w:rFonts w:ascii="Times New Roman" w:hAnsi="Times New Roman" w:cs="Times New Roman"/>
                <w:i/>
                <w:iCs/>
                <w:sz w:val="24"/>
                <w:szCs w:val="24"/>
              </w:rPr>
              <w:t>,</w:t>
            </w:r>
            <w:r w:rsidRPr="007334AD">
              <w:rPr>
                <w:rFonts w:ascii="Times New Roman" w:hAnsi="Times New Roman" w:cs="Times New Roman"/>
                <w:sz w:val="24"/>
                <w:szCs w:val="24"/>
              </w:rPr>
              <w:t xml:space="preserve"> proti, jautājumi par materiālo un procesuālo tiesību normu piemērošanas pareizību.</w:t>
            </w:r>
            <w:r w:rsidRPr="007334AD">
              <w:rPr>
                <w:rStyle w:val="Vresatsauce"/>
              </w:rPr>
              <w:footnoteReference w:id="33"/>
            </w:r>
            <w:r w:rsidRPr="007334AD">
              <w:rPr>
                <w:rFonts w:ascii="Times New Roman" w:hAnsi="Times New Roman" w:cs="Times New Roman"/>
                <w:sz w:val="24"/>
                <w:szCs w:val="24"/>
              </w:rPr>
              <w:t xml:space="preserve"> </w:t>
            </w:r>
          </w:p>
          <w:p w14:paraId="1F57595C"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Kā uzsvērusi Satversmes tiesa, kasācijas instances tiesa pēc sava rakstura ir publiski nozīmīga, jo tajā notiekošais process ir vērsts uz tiesību normu vienveidīgu iztulkošanu un piemērošanu valstī, proti, uz likumu vienveidīgu interpretāciju.</w:t>
            </w:r>
            <w:r w:rsidRPr="007334AD">
              <w:rPr>
                <w:rStyle w:val="Vresatsauce"/>
              </w:rPr>
              <w:footnoteReference w:id="34"/>
            </w:r>
            <w:r w:rsidRPr="007334AD">
              <w:rPr>
                <w:rFonts w:ascii="Times New Roman" w:hAnsi="Times New Roman" w:cs="Times New Roman"/>
                <w:sz w:val="24"/>
                <w:szCs w:val="24"/>
              </w:rPr>
              <w:t xml:space="preserve"> Satversmes tiesa ir uzsvērusi kasācijas instances tiesas nozīmi kriminālprocesā demokrātiskā un tiesiskā valstī, kā arī tās nozīmi tiesību sistēmas vienotības, attīstības un personas </w:t>
            </w:r>
            <w:proofErr w:type="spellStart"/>
            <w:r w:rsidRPr="007334AD">
              <w:rPr>
                <w:rFonts w:ascii="Times New Roman" w:hAnsi="Times New Roman" w:cs="Times New Roman"/>
                <w:sz w:val="24"/>
                <w:szCs w:val="24"/>
              </w:rPr>
              <w:t>pamattiesību</w:t>
            </w:r>
            <w:proofErr w:type="spellEnd"/>
            <w:r w:rsidRPr="007334AD">
              <w:rPr>
                <w:rFonts w:ascii="Times New Roman" w:hAnsi="Times New Roman" w:cs="Times New Roman"/>
                <w:sz w:val="24"/>
                <w:szCs w:val="24"/>
              </w:rPr>
              <w:t>,</w:t>
            </w:r>
            <w:r w:rsidRPr="007334AD">
              <w:rPr>
                <w:rFonts w:ascii="Times New Roman" w:hAnsi="Times New Roman" w:cs="Times New Roman"/>
                <w:sz w:val="24"/>
                <w:szCs w:val="24"/>
                <w:vertAlign w:val="superscript"/>
              </w:rPr>
              <w:footnoteReference w:id="35"/>
            </w:r>
            <w:r w:rsidRPr="007334AD">
              <w:rPr>
                <w:rFonts w:ascii="Times New Roman" w:hAnsi="Times New Roman" w:cs="Times New Roman"/>
                <w:sz w:val="24"/>
                <w:szCs w:val="24"/>
              </w:rPr>
              <w:t xml:space="preserve"> taisnīguma,</w:t>
            </w:r>
            <w:r w:rsidRPr="007334AD">
              <w:rPr>
                <w:rFonts w:ascii="Times New Roman" w:hAnsi="Times New Roman" w:cs="Times New Roman"/>
                <w:sz w:val="24"/>
                <w:szCs w:val="24"/>
                <w:vertAlign w:val="superscript"/>
              </w:rPr>
              <w:footnoteReference w:id="36"/>
            </w:r>
            <w:r w:rsidRPr="007334AD">
              <w:rPr>
                <w:rFonts w:ascii="Times New Roman" w:hAnsi="Times New Roman" w:cs="Times New Roman"/>
                <w:sz w:val="24"/>
                <w:szCs w:val="24"/>
              </w:rPr>
              <w:t xml:space="preserve"> un tiesības uz taisnīgu tiesu nodrošināšanā</w:t>
            </w:r>
            <w:r w:rsidRPr="007334AD">
              <w:rPr>
                <w:rFonts w:ascii="Times New Roman" w:hAnsi="Times New Roman" w:cs="Times New Roman"/>
                <w:sz w:val="24"/>
                <w:szCs w:val="24"/>
                <w:vertAlign w:val="superscript"/>
              </w:rPr>
              <w:footnoteReference w:id="37"/>
            </w:r>
            <w:r w:rsidRPr="007334AD">
              <w:rPr>
                <w:rFonts w:ascii="Times New Roman" w:hAnsi="Times New Roman" w:cs="Times New Roman"/>
                <w:sz w:val="24"/>
                <w:szCs w:val="24"/>
              </w:rPr>
              <w:t xml:space="preserve">. </w:t>
            </w:r>
          </w:p>
          <w:p w14:paraId="750BD7F7"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Pieejama un saprotama judikatūra, kasācijas instances tiesas sniegtā analīze un interpretācija ir nozīmīgs instruments vienveidīgas judikatūras veidošanai, kā arī tiesību attīstības nodrošināšanai.</w:t>
            </w:r>
            <w:r w:rsidRPr="007334AD">
              <w:rPr>
                <w:rStyle w:val="Vresatsauce"/>
              </w:rPr>
              <w:footnoteReference w:id="38"/>
            </w:r>
            <w:r w:rsidRPr="007334AD">
              <w:rPr>
                <w:rFonts w:ascii="Times New Roman" w:hAnsi="Times New Roman" w:cs="Times New Roman"/>
                <w:sz w:val="24"/>
                <w:szCs w:val="24"/>
              </w:rPr>
              <w:t xml:space="preserve"> Kasācijas instances tiesai ir būtiska loma tiesību normu interpretēšanā un piemērošanā Satversmei atbilstošā veidā.</w:t>
            </w:r>
            <w:r w:rsidRPr="007334AD">
              <w:rPr>
                <w:rFonts w:ascii="Times New Roman" w:hAnsi="Times New Roman" w:cs="Times New Roman"/>
                <w:sz w:val="24"/>
                <w:szCs w:val="24"/>
                <w:vertAlign w:val="superscript"/>
              </w:rPr>
              <w:footnoteReference w:id="39"/>
            </w:r>
            <w:r w:rsidRPr="007334AD">
              <w:rPr>
                <w:rFonts w:ascii="Times New Roman" w:hAnsi="Times New Roman" w:cs="Times New Roman"/>
                <w:sz w:val="24"/>
                <w:szCs w:val="24"/>
              </w:rPr>
              <w:t xml:space="preserve"> Kasācijas instances tiesai demokrātiskā tiesiskā valstī ir būtiska nozīme Satversmes un tiesību virsvadības nodrošināšanā, tiesību sistēmas attīstīšanā, kā arī personas </w:t>
            </w:r>
            <w:proofErr w:type="spellStart"/>
            <w:r w:rsidRPr="007334AD">
              <w:rPr>
                <w:rFonts w:ascii="Times New Roman" w:hAnsi="Times New Roman" w:cs="Times New Roman"/>
                <w:sz w:val="24"/>
                <w:szCs w:val="24"/>
              </w:rPr>
              <w:t>pamattiesību</w:t>
            </w:r>
            <w:proofErr w:type="spellEnd"/>
            <w:r w:rsidRPr="007334AD">
              <w:rPr>
                <w:rFonts w:ascii="Times New Roman" w:hAnsi="Times New Roman" w:cs="Times New Roman"/>
                <w:sz w:val="24"/>
                <w:szCs w:val="24"/>
              </w:rPr>
              <w:t xml:space="preserve"> aizsardzības nodrošināšanā.</w:t>
            </w:r>
            <w:r w:rsidRPr="007334AD">
              <w:rPr>
                <w:rStyle w:val="Vresatsauce"/>
              </w:rPr>
              <w:footnoteReference w:id="40"/>
            </w:r>
            <w:r w:rsidRPr="007334AD">
              <w:rPr>
                <w:rFonts w:ascii="Times New Roman" w:hAnsi="Times New Roman" w:cs="Times New Roman"/>
                <w:sz w:val="24"/>
                <w:szCs w:val="24"/>
              </w:rPr>
              <w:t xml:space="preserve"> </w:t>
            </w:r>
          </w:p>
          <w:p w14:paraId="62690BC0"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Kasācijas instances tiesa, vērtējot tiesību normu piemērošanas pareizību, arī sniedz principiālu tiesību normu interpretāciju. Kasācijas instances tiesas sniegtā </w:t>
            </w:r>
            <w:proofErr w:type="spellStart"/>
            <w:r w:rsidRPr="007334AD">
              <w:rPr>
                <w:rFonts w:ascii="Times New Roman" w:hAnsi="Times New Roman" w:cs="Times New Roman"/>
                <w:sz w:val="24"/>
                <w:szCs w:val="24"/>
              </w:rPr>
              <w:t>problēmjautājumu</w:t>
            </w:r>
            <w:proofErr w:type="spellEnd"/>
            <w:r w:rsidRPr="007334AD">
              <w:rPr>
                <w:rFonts w:ascii="Times New Roman" w:hAnsi="Times New Roman" w:cs="Times New Roman"/>
                <w:sz w:val="24"/>
                <w:szCs w:val="24"/>
              </w:rPr>
              <w:t xml:space="preserve"> analīze un interpretācija ir būtisks </w:t>
            </w:r>
            <w:r w:rsidRPr="007334AD">
              <w:rPr>
                <w:rFonts w:ascii="Times New Roman" w:hAnsi="Times New Roman" w:cs="Times New Roman"/>
                <w:sz w:val="24"/>
                <w:szCs w:val="24"/>
              </w:rPr>
              <w:lastRenderedPageBreak/>
              <w:t>instruments vienveidīgas judikatūras veidošanai, kā arī tiesību attīstības nodrošināšanai</w:t>
            </w:r>
            <w:r w:rsidRPr="007334AD">
              <w:rPr>
                <w:rFonts w:ascii="Times New Roman" w:hAnsi="Times New Roman" w:cs="Times New Roman"/>
                <w:sz w:val="24"/>
                <w:szCs w:val="24"/>
                <w:vertAlign w:val="superscript"/>
              </w:rPr>
              <w:footnoteReference w:id="41"/>
            </w:r>
            <w:r w:rsidRPr="007334AD">
              <w:rPr>
                <w:rFonts w:ascii="Times New Roman" w:hAnsi="Times New Roman" w:cs="Times New Roman"/>
                <w:sz w:val="24"/>
                <w:szCs w:val="24"/>
              </w:rPr>
              <w:t>.</w:t>
            </w:r>
          </w:p>
          <w:p w14:paraId="72F4A9AD"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Tāpat Senāta Krimināllietu departamenta senatoru noslodzi rada no Operatīvās darbības likuma 7.panta trešās daļas izrietošie senatora darbam neraksturīgie pienākumi. </w:t>
            </w:r>
          </w:p>
          <w:p w14:paraId="2F1E4563"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Lai nostiprinātu Senāta Krimināllietu departamenta kā kasācijas instances tiesas nozīmi, ir ieplānots KPL 54.nodaļu papildināt ar regulējumu, kas kasācijas instances tiesai kriminālprocesā ļauj izskatīt lietas paplašinātā sastāvā un arī senatoriem izteikt atsevišķās domas. Ar paplašināto sastāvu ieviešanu pieaugs kasācijas instances tiesas noslodze. Šādas noslodzes palielināšana saistīta ar nepieciešamību nodrošināt tās primāro funkciju efektīvāku izpildi un vienveidīgas judikatūras veidošanu un tiesību attīstības nodrošināšanu.</w:t>
            </w:r>
          </w:p>
          <w:p w14:paraId="3758C467"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Nupat minētie apsvērumi, kas raksturo kasācijas instances īpašo nozīmi judikatūras veidošanā, primāri attiecas uz krimināllietām, kas tiek skatītas vispārējā kārtībā. Tieši vispārējā kārtībā, kad tiek noteikta personas vaina, kasācijas instancei ir izšķiroši nodrošināt tiesību normu vienveidīgu iztulkošanu un piemērošanu. Tādā veidā kasācijas instance, sniedzot principālu tiesību normu interpretāciju, nodrošina tiesību sistēmas vienotību, tās attīstību un personas </w:t>
            </w:r>
            <w:proofErr w:type="spellStart"/>
            <w:r w:rsidRPr="007334AD">
              <w:rPr>
                <w:rFonts w:ascii="Times New Roman" w:hAnsi="Times New Roman" w:cs="Times New Roman"/>
                <w:sz w:val="24"/>
                <w:szCs w:val="24"/>
              </w:rPr>
              <w:t>pamattiesības</w:t>
            </w:r>
            <w:proofErr w:type="spellEnd"/>
            <w:r w:rsidRPr="007334AD">
              <w:rPr>
                <w:rFonts w:ascii="Times New Roman" w:hAnsi="Times New Roman" w:cs="Times New Roman"/>
                <w:sz w:val="24"/>
                <w:szCs w:val="24"/>
              </w:rPr>
              <w:t>, taisnīgumu un tiesības uz taisnīgu tiesu. Pieejama un saprotama judikatūra ir pamats krimināllietu taisnīgai izskatīšanai, kas nodrošina tiesību normu piemērošanu un interpretāciju Satversmei atbilstošā veidā.</w:t>
            </w:r>
          </w:p>
          <w:p w14:paraId="63736A4C" w14:textId="77777777" w:rsidR="00C9653E" w:rsidRPr="007334AD" w:rsidRDefault="00C9653E" w:rsidP="00C9653E">
            <w:pPr>
              <w:pStyle w:val="Sarakstarindkopa"/>
              <w:spacing w:after="0" w:line="240" w:lineRule="auto"/>
              <w:ind w:left="0"/>
              <w:contextualSpacing w:val="0"/>
              <w:jc w:val="both"/>
              <w:rPr>
                <w:rFonts w:ascii="Times New Roman" w:hAnsi="Times New Roman" w:cs="Times New Roman"/>
                <w:b/>
                <w:bCs/>
                <w:i/>
                <w:iCs/>
                <w:sz w:val="24"/>
                <w:szCs w:val="24"/>
              </w:rPr>
            </w:pPr>
            <w:r w:rsidRPr="007334AD">
              <w:rPr>
                <w:rFonts w:ascii="Times New Roman" w:hAnsi="Times New Roman" w:cs="Times New Roman"/>
                <w:b/>
                <w:bCs/>
                <w:i/>
                <w:iCs/>
                <w:sz w:val="24"/>
                <w:szCs w:val="24"/>
              </w:rPr>
              <w:t>Tiesības uz pārsūdzību.</w:t>
            </w:r>
          </w:p>
          <w:p w14:paraId="5DC1DF5E"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Satversmes 92.panta pirmais teikums gadījumos, kad tiek skartas personas tiesības un likumiskās intereses, prasa nodrošināt personai vismaz minimālās tiesības vērsties tiesā, t.i., tiesības uz lietas izskatīšanu vismaz vienā instancē.</w:t>
            </w:r>
            <w:r w:rsidRPr="007334AD">
              <w:rPr>
                <w:rStyle w:val="Vresatsauce"/>
              </w:rPr>
              <w:footnoteReference w:id="42"/>
            </w:r>
          </w:p>
          <w:p w14:paraId="71A2F95B"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Valsts ir tiesīga noteikt pārsūdzības tiesību apjomu saskaņā ar savu tiesību sistēmu, </w:t>
            </w:r>
            <w:proofErr w:type="spellStart"/>
            <w:r w:rsidRPr="007334AD">
              <w:rPr>
                <w:rFonts w:ascii="Times New Roman" w:hAnsi="Times New Roman" w:cs="Times New Roman"/>
                <w:sz w:val="24"/>
                <w:szCs w:val="24"/>
              </w:rPr>
              <w:t>citastarp</w:t>
            </w:r>
            <w:proofErr w:type="spellEnd"/>
            <w:r w:rsidRPr="007334AD">
              <w:rPr>
                <w:rFonts w:ascii="Times New Roman" w:hAnsi="Times New Roman" w:cs="Times New Roman"/>
                <w:sz w:val="24"/>
                <w:szCs w:val="24"/>
              </w:rPr>
              <w:t xml:space="preserve"> noteikt pārsūdzības instances kārtību atkarībā no lietu veida.</w:t>
            </w:r>
            <w:r w:rsidRPr="007334AD">
              <w:rPr>
                <w:rStyle w:val="Vresatsauce"/>
              </w:rPr>
              <w:footnoteReference w:id="43"/>
            </w:r>
            <w:r w:rsidRPr="007334AD">
              <w:rPr>
                <w:rFonts w:ascii="Times New Roman" w:hAnsi="Times New Roman" w:cs="Times New Roman"/>
                <w:sz w:val="24"/>
                <w:szCs w:val="24"/>
              </w:rPr>
              <w:t xml:space="preserve"> No Cilvēka tiesību un pamatbrīvību aizsardzības konvencijas (turpmāk tekstā – Konvencija) neizriet prasība, lai krimināllietās līdztekus apelācijas instances tiesai pastāvētu vēl kāda obligāta instance, kurā pārsūdzēt nolēmumu persona būtu tiesīga.</w:t>
            </w:r>
            <w:r w:rsidRPr="007334AD">
              <w:rPr>
                <w:rStyle w:val="Vresatsauce"/>
              </w:rPr>
              <w:footnoteReference w:id="44"/>
            </w:r>
            <w:r w:rsidRPr="007334AD">
              <w:rPr>
                <w:rFonts w:ascii="Times New Roman" w:hAnsi="Times New Roman" w:cs="Times New Roman"/>
                <w:sz w:val="24"/>
                <w:szCs w:val="24"/>
              </w:rPr>
              <w:t xml:space="preserve"> Pārsūdzības tiesību apjoms krimināllietās ir atkarīgs no tā, vai ar konkrēto nolēmumu, kura kontroli augstākā instancē persona vēlas panākt, lieta tiek izlemta pēc būtības.</w:t>
            </w:r>
            <w:r w:rsidRPr="007334AD">
              <w:rPr>
                <w:rStyle w:val="Vresatsauce"/>
              </w:rPr>
              <w:footnoteReference w:id="45"/>
            </w:r>
            <w:r w:rsidRPr="007334AD">
              <w:rPr>
                <w:rFonts w:ascii="Times New Roman" w:hAnsi="Times New Roman" w:cs="Times New Roman"/>
                <w:sz w:val="24"/>
                <w:szCs w:val="24"/>
              </w:rPr>
              <w:t xml:space="preserve"> Turklāt, kā atzīmējusi Satversmes tiesa, no </w:t>
            </w:r>
            <w:r w:rsidRPr="007334AD">
              <w:rPr>
                <w:rFonts w:ascii="Times New Roman" w:hAnsi="Times New Roman" w:cs="Times New Roman"/>
                <w:sz w:val="24"/>
                <w:szCs w:val="24"/>
              </w:rPr>
              <w:lastRenderedPageBreak/>
              <w:t>vispārējiem tiesību principiem un Satversmes neizriet valsts pienākums ikvienas kategorijas lietai paredzēt pārsūdzību kasācijas instances tiesā.</w:t>
            </w:r>
            <w:r w:rsidRPr="007334AD">
              <w:rPr>
                <w:rStyle w:val="Vresatsauce"/>
              </w:rPr>
              <w:footnoteReference w:id="46"/>
            </w:r>
            <w:r w:rsidRPr="007334AD">
              <w:rPr>
                <w:rFonts w:ascii="Times New Roman" w:hAnsi="Times New Roman" w:cs="Times New Roman"/>
                <w:sz w:val="24"/>
                <w:szCs w:val="24"/>
              </w:rPr>
              <w:t xml:space="preserve"> </w:t>
            </w:r>
          </w:p>
          <w:p w14:paraId="1444FA98"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Likumdevējam ir plaša rīcības brīvība pieņemt procesuālos likumus, noteikt lietu kategorijas, kuras attiecīgajos procesos tiek skatītas, noteikt, kādas lietas ir katras tiesu iestādes kompetencē, un lemt par dažādu kategoriju lietu izskatīšanas kārtību.</w:t>
            </w:r>
            <w:r w:rsidRPr="007334AD">
              <w:rPr>
                <w:rStyle w:val="Vresatsauce"/>
              </w:rPr>
              <w:footnoteReference w:id="47"/>
            </w:r>
            <w:r w:rsidRPr="007334AD">
              <w:rPr>
                <w:rFonts w:ascii="Times New Roman" w:hAnsi="Times New Roman" w:cs="Times New Roman"/>
                <w:sz w:val="24"/>
                <w:szCs w:val="24"/>
              </w:rPr>
              <w:t xml:space="preserve"> Izraudzītajam procesa veidam ir jāļauj izskatīt konkrēto lietu pēc iespējas atbilstoši un efektīvi, un attiecīgais procesa veids nedrīkst liegt personai tiesības uz taisnīgu tiesu pēc būtības vai būtiski ierobežot personas tiesības aizstāvēt savas tiesības.</w:t>
            </w:r>
            <w:r w:rsidRPr="007334AD">
              <w:rPr>
                <w:rStyle w:val="Vresatsauce"/>
              </w:rPr>
              <w:footnoteReference w:id="48"/>
            </w:r>
            <w:r w:rsidRPr="007334AD">
              <w:rPr>
                <w:rFonts w:ascii="Times New Roman" w:hAnsi="Times New Roman" w:cs="Times New Roman"/>
                <w:sz w:val="24"/>
                <w:szCs w:val="24"/>
              </w:rPr>
              <w:t xml:space="preserve"> </w:t>
            </w:r>
          </w:p>
          <w:p w14:paraId="354E474D"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Pastāv cieša saikne starp tiesu struktūru un iespēju nodrošināt tiesības uz taisnīgu tiesu, jo taisnīgumu nevar skatīt izolēti no efektivitātes.</w:t>
            </w:r>
            <w:r w:rsidRPr="007334AD">
              <w:rPr>
                <w:rStyle w:val="Vresatsauce"/>
              </w:rPr>
              <w:footnoteReference w:id="49"/>
            </w:r>
            <w:r w:rsidRPr="007334AD">
              <w:rPr>
                <w:rFonts w:ascii="Times New Roman" w:hAnsi="Times New Roman" w:cs="Times New Roman"/>
                <w:sz w:val="24"/>
                <w:szCs w:val="24"/>
              </w:rPr>
              <w:t xml:space="preserve"> Saskaņā ar likuma par tiesu varu 36.pantu apgabaltiesa ir apelācijas instance civillietām, krimināllietām un administratīvajām lietām, ja likumā nav noteikts citādi.</w:t>
            </w:r>
          </w:p>
          <w:p w14:paraId="171223A6"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Likumdevējs KPL 442. pantā noteicis tiesvedības instances krimināllietā, uzsverot ne tikai to, ka vispārīgā kārtībā krimināllietas izskata tiesas trīs instancēs jeb līmeņos, bet arī nosakot striktu tiesu hierarhiju. Proti, ņemot vērā efektivitāti, izveidota tiesu hierarhiska struktūra, saskaņā ar kuru pirmās instances tiesas nolēmumu pārsūdz nākamajā līmenī, tas ir, apelācijas instances tiesā. </w:t>
            </w:r>
          </w:p>
          <w:p w14:paraId="2DEE6681"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Atbilstoši KPL 549. pantam arī apelācijas instances tiesas kompetencē ietilpst par spēkā nestājušos pirmās instances tiesas nolēmumu iesniegts apelācijas protestu vai sūdzību izskatīšana, tajā skaitā juridisku iemeslu dēļ. Skatot lietas pēc būtības, apelācijas instances tiesa izvērtē ne tikai faktiskos apstākļus un pierādījumus lietā, bet arī pārbauda iespējamus Krimināllikuma un arī KPL pārkāpumus. Arī Eiropas Cilvēktiesību tiesa ir atzīmējusi, ka apelācijas instances tiesas kompetencē ir izskatīt lietu gan kā faktisku, tā arī juridisku iemeslu dēļ.</w:t>
            </w:r>
            <w:r w:rsidRPr="007334AD">
              <w:rPr>
                <w:rStyle w:val="Vresatsauce"/>
              </w:rPr>
              <w:footnoteReference w:id="50"/>
            </w:r>
            <w:r w:rsidRPr="007334AD">
              <w:rPr>
                <w:rFonts w:ascii="Times New Roman" w:hAnsi="Times New Roman" w:cs="Times New Roman"/>
                <w:sz w:val="24"/>
                <w:szCs w:val="24"/>
              </w:rPr>
              <w:t xml:space="preserve"> </w:t>
            </w:r>
          </w:p>
          <w:p w14:paraId="2DDF3C7B"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Komentējot Satversmes 92.pantu un tiesības uz pārsūdzību, uzsvērts, ka Satversme prasa, lai krimināltiesiska rakstura lietās valsts būtu nodrošinājusi pārsūdzības iespējas tādā tiesā, kas ir kompetenta izvērtēt jautājumu pēc būtības </w:t>
            </w:r>
            <w:r w:rsidRPr="007334AD">
              <w:rPr>
                <w:rFonts w:ascii="Times New Roman" w:hAnsi="Times New Roman" w:cs="Times New Roman"/>
                <w:sz w:val="24"/>
                <w:szCs w:val="24"/>
              </w:rPr>
              <w:lastRenderedPageBreak/>
              <w:t>(proti, vērtēt gan faktus, gan tiesību jautājumus).</w:t>
            </w:r>
            <w:r w:rsidRPr="007334AD">
              <w:rPr>
                <w:rStyle w:val="Vresatsauce"/>
              </w:rPr>
              <w:footnoteReference w:id="51"/>
            </w:r>
            <w:r w:rsidRPr="007334AD">
              <w:rPr>
                <w:rFonts w:ascii="Times New Roman" w:hAnsi="Times New Roman" w:cs="Times New Roman"/>
                <w:sz w:val="24"/>
                <w:szCs w:val="24"/>
              </w:rPr>
              <w:t xml:space="preserve"> Arī prof. </w:t>
            </w:r>
            <w:proofErr w:type="spellStart"/>
            <w:r w:rsidRPr="007334AD">
              <w:rPr>
                <w:rFonts w:ascii="Times New Roman" w:hAnsi="Times New Roman" w:cs="Times New Roman"/>
                <w:sz w:val="24"/>
                <w:szCs w:val="24"/>
              </w:rPr>
              <w:t>K.Strada</w:t>
            </w:r>
            <w:proofErr w:type="spellEnd"/>
            <w:r w:rsidRPr="007334AD">
              <w:rPr>
                <w:rFonts w:ascii="Times New Roman" w:hAnsi="Times New Roman" w:cs="Times New Roman"/>
                <w:sz w:val="24"/>
                <w:szCs w:val="24"/>
              </w:rPr>
              <w:t xml:space="preserve">-Rozenberga un prof. </w:t>
            </w:r>
            <w:proofErr w:type="spellStart"/>
            <w:r w:rsidRPr="007334AD">
              <w:rPr>
                <w:rFonts w:ascii="Times New Roman" w:hAnsi="Times New Roman" w:cs="Times New Roman"/>
                <w:sz w:val="24"/>
                <w:szCs w:val="24"/>
              </w:rPr>
              <w:t>Ā.Meikališa</w:t>
            </w:r>
            <w:proofErr w:type="spellEnd"/>
            <w:r w:rsidRPr="007334AD">
              <w:rPr>
                <w:rFonts w:ascii="Times New Roman" w:hAnsi="Times New Roman" w:cs="Times New Roman"/>
                <w:sz w:val="24"/>
                <w:szCs w:val="24"/>
              </w:rPr>
              <w:t xml:space="preserve"> ir uzsvērušas, ka apelācijas tiesvedība pašreizējā KPL tiesiskajā modelī ir cieši saistīta ar pirmo instanci un tajā notiekošo.</w:t>
            </w:r>
            <w:r w:rsidRPr="007334AD">
              <w:rPr>
                <w:rStyle w:val="Vresatsauce"/>
              </w:rPr>
              <w:footnoteReference w:id="52"/>
            </w:r>
            <w:r w:rsidRPr="007334AD">
              <w:rPr>
                <w:rFonts w:ascii="Times New Roman" w:hAnsi="Times New Roman" w:cs="Times New Roman"/>
                <w:sz w:val="24"/>
                <w:szCs w:val="24"/>
              </w:rPr>
              <w:t xml:space="preserve"> </w:t>
            </w:r>
          </w:p>
          <w:p w14:paraId="681FF773"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Tiesas sprieduma pārsūdzēšana apelācijas kārtībā ir sūdzības iesniegšana par spriedumu, kas nav stājies likumīgā spēkā. Pārsūdzības mērķis ir pārbaudīt tiesas nolēmuma tiesiskumu un pamatotību, kā arī novērst kļūdas, ko, iespējams, pieļāvusi zemākas instances tiesa, izskatot lietas par aizskartām personas tiesībām un ar likumu aizsargātām interesēm.</w:t>
            </w:r>
            <w:r w:rsidRPr="007334AD">
              <w:rPr>
                <w:rStyle w:val="Vresatsauce"/>
              </w:rPr>
              <w:footnoteReference w:id="53"/>
            </w:r>
            <w:r w:rsidRPr="007334AD">
              <w:rPr>
                <w:rFonts w:ascii="Times New Roman" w:hAnsi="Times New Roman" w:cs="Times New Roman"/>
                <w:sz w:val="24"/>
                <w:szCs w:val="24"/>
              </w:rPr>
              <w:t xml:space="preserve"> Vienošanās procesos pārsūdzības priekšmets var būt tikai par vienošanās procesa kārtības pārkāpumiem vai Krimināllikuma normu pārkāpumiem, tas ir, tikai tiesību nevis faktu jautājumiem. </w:t>
            </w:r>
          </w:p>
          <w:p w14:paraId="2D64DC88"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Apelācijas instances tiesā (atšķirībā no kasācijas instances tiesas) izšķirošā nozīme ir tieši lietas dalībnieku interesēm.</w:t>
            </w:r>
            <w:r w:rsidRPr="007334AD">
              <w:rPr>
                <w:rStyle w:val="Vresatsauce"/>
              </w:rPr>
              <w:footnoteReference w:id="54"/>
            </w:r>
            <w:r w:rsidRPr="007334AD">
              <w:rPr>
                <w:rFonts w:ascii="Times New Roman" w:hAnsi="Times New Roman" w:cs="Times New Roman"/>
                <w:sz w:val="24"/>
                <w:szCs w:val="24"/>
              </w:rPr>
              <w:t xml:space="preserve"> Lai gan lietas dalībnieku interešu nozīme uzsvērta civilprocesa un administratīvā pārkāpuma procesa kontekstā, šī atziņa ir būtiska un vienlīdz attiecināma uz apelācijas instances tiesu kriminālprocesā. Arī vienošanās procesa kā vienkāršotā kriminālprocesa pabeigšanas veida mērķis atbilstoši KPL 1. pantam un kriminālprocesa pamatprincipiem ir pēc iespējas vienkāršākā, laika ziņā efektīvākā veidā nodrošināt krimināltiesisko attiecību taisnīgu noregulējumu, ja persona atzīst savu vainu vai juridiska persona atzīst noziedzīga nodarījuma izdarīšanas faktu. Vienošanās procesā vienlīdz svarīga nozīme ir saprātīgā termiņā panākt taisnīgu krimināltiesisko attiecību noregulējumu. Tādējādi apelācijas instances tiesa tās kompetences ietvaros spētu pilnīgi izskatīt arī par pirmās instances tiesas nolēmumu tiesiskumu iesniegtās sūdzības vai protestus gan fiziskas personas vienošanās procesā, gan arī vienošanās procesā par piespiedu ietekmēšanas līdzekļu piemērošanu juridiskai personai.</w:t>
            </w:r>
          </w:p>
          <w:p w14:paraId="116D1A83"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Papildus atzīmējams, ka, ieviešot procesuālo kārtību kasācijas kārtībā izskatīt lietas paplašinātā sastāvā, palielināsies Senāta Krimināllietu departamenta noslodze. Tas rada objektīvu nepieciešamību izvērtēt, kā saglabāt kasācijas instances tiesas kapacitāti vienveidīgas judikatūras veidošanā, kā arī tiesību attīstības nodrošināšanā. Kasācijas instances tiesas kapacitāti konkrētajā gadījumā būtu iespējams saglabāt, ja vienošanās procesā pieņemto pirmās </w:t>
            </w:r>
            <w:r w:rsidRPr="007334AD">
              <w:rPr>
                <w:rFonts w:ascii="Times New Roman" w:hAnsi="Times New Roman" w:cs="Times New Roman"/>
                <w:sz w:val="24"/>
                <w:szCs w:val="24"/>
              </w:rPr>
              <w:lastRenderedPageBreak/>
              <w:t xml:space="preserve">instances tiesas nolēmumu tiesiskuma pārbaudi turpmāk nodotu apelācijas instances tiesai atbilstoši tai KPL 549. pantā noteiktajai kompetencei un rakstveida procesā. </w:t>
            </w:r>
          </w:p>
          <w:p w14:paraId="219EC38C" w14:textId="77777777" w:rsidR="00C9653E" w:rsidRPr="007334AD" w:rsidRDefault="00C9653E" w:rsidP="00C9653E">
            <w:pPr>
              <w:pStyle w:val="Sarakstarindkopa"/>
              <w:spacing w:after="0" w:line="240" w:lineRule="auto"/>
              <w:ind w:left="0"/>
              <w:contextualSpacing w:val="0"/>
              <w:jc w:val="both"/>
              <w:rPr>
                <w:rFonts w:ascii="Times New Roman" w:hAnsi="Times New Roman" w:cs="Times New Roman"/>
                <w:b/>
                <w:bCs/>
                <w:i/>
                <w:iCs/>
                <w:sz w:val="24"/>
                <w:szCs w:val="24"/>
              </w:rPr>
            </w:pPr>
            <w:r w:rsidRPr="007334AD">
              <w:rPr>
                <w:rFonts w:ascii="Times New Roman" w:hAnsi="Times New Roman" w:cs="Times New Roman"/>
                <w:b/>
                <w:bCs/>
                <w:i/>
                <w:iCs/>
                <w:sz w:val="24"/>
                <w:szCs w:val="24"/>
              </w:rPr>
              <w:t>Statistikas dati.</w:t>
            </w:r>
          </w:p>
          <w:p w14:paraId="62C08EED"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Lai precīzāk atspoguļotu gan nepieciešamību, gan arī iespējamību nodot vienošanās procesā par tiesas lēmumu iesniegto sūdzību vai protestu izskatīšanu apelācijas instances tiesām, turpmāk tiks uzsvērti un analizēti aktuālie statistikas dati par apelācijas instances tiesu un kasācijas instances tiesas noslodzi.</w:t>
            </w:r>
          </w:p>
          <w:p w14:paraId="1037F55D"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2020.gada 28.septembrī Augstākā tiesa no Tiesu administrācijas saņēma atbildi uz pieprasījumu par Latvijas Republikas apgabaltiesu noslodzi krimināllietās un administratīvo pārkāpumu lietās par laika posmu no 2019.gada janvāra līdz 2020.gada septembrim (ieskaitot). </w:t>
            </w:r>
          </w:p>
          <w:p w14:paraId="4DCCAD67" w14:textId="77777777" w:rsidR="00C9653E" w:rsidRPr="007334AD" w:rsidRDefault="00C9653E" w:rsidP="00C9653E">
            <w:pPr>
              <w:spacing w:after="0" w:line="240" w:lineRule="auto"/>
              <w:jc w:val="both"/>
              <w:rPr>
                <w:rFonts w:ascii="Times New Roman" w:hAnsi="Times New Roman" w:cs="Times New Roman"/>
                <w:sz w:val="24"/>
                <w:szCs w:val="24"/>
              </w:rPr>
            </w:pPr>
          </w:p>
          <w:p w14:paraId="4025203C"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Tiesu administrācija par apgabaltiesām minētajā laika posmā sniedza šādus datus:</w:t>
            </w:r>
          </w:p>
          <w:tbl>
            <w:tblPr>
              <w:tblW w:w="5178" w:type="dxa"/>
              <w:jc w:val="center"/>
              <w:tblLayout w:type="fixed"/>
              <w:tblLook w:val="04A0" w:firstRow="1" w:lastRow="0" w:firstColumn="1" w:lastColumn="0" w:noHBand="0" w:noVBand="1"/>
            </w:tblPr>
            <w:tblGrid>
              <w:gridCol w:w="1237"/>
              <w:gridCol w:w="1280"/>
              <w:gridCol w:w="1381"/>
              <w:gridCol w:w="1280"/>
            </w:tblGrid>
            <w:tr w:rsidR="00C9653E" w:rsidRPr="007334AD" w14:paraId="4984E96A" w14:textId="77777777" w:rsidTr="00C9653E">
              <w:trPr>
                <w:trHeight w:val="863"/>
                <w:jc w:val="center"/>
              </w:trPr>
              <w:tc>
                <w:tcPr>
                  <w:tcW w:w="1237" w:type="dxa"/>
                  <w:tcBorders>
                    <w:top w:val="single" w:sz="4" w:space="0" w:color="C0C0C0"/>
                    <w:left w:val="single" w:sz="4" w:space="0" w:color="C0C0C0"/>
                    <w:bottom w:val="single" w:sz="4" w:space="0" w:color="C0C0C0"/>
                    <w:right w:val="nil"/>
                  </w:tcBorders>
                  <w:shd w:val="clear" w:color="000000" w:fill="DFDFDF"/>
                  <w:vAlign w:val="center"/>
                  <w:hideMark/>
                </w:tcPr>
                <w:p w14:paraId="6B527323" w14:textId="77777777" w:rsidR="00C9653E" w:rsidRPr="007334AD" w:rsidRDefault="00C9653E" w:rsidP="00C9653E">
                  <w:pPr>
                    <w:spacing w:after="0" w:line="240" w:lineRule="auto"/>
                    <w:jc w:val="both"/>
                    <w:rPr>
                      <w:rFonts w:ascii="Times New Roman" w:eastAsia="Times New Roman" w:hAnsi="Times New Roman" w:cs="Times New Roman"/>
                      <w:b/>
                      <w:bCs/>
                      <w:sz w:val="24"/>
                      <w:szCs w:val="24"/>
                      <w:lang w:eastAsia="lv-LV"/>
                    </w:rPr>
                  </w:pPr>
                  <w:r w:rsidRPr="007334AD">
                    <w:rPr>
                      <w:rFonts w:ascii="Times New Roman" w:eastAsia="Times New Roman" w:hAnsi="Times New Roman" w:cs="Times New Roman"/>
                      <w:b/>
                      <w:bCs/>
                      <w:sz w:val="24"/>
                      <w:szCs w:val="24"/>
                      <w:lang w:eastAsia="lv-LV"/>
                    </w:rPr>
                    <w:t>Tiesa</w:t>
                  </w:r>
                </w:p>
              </w:tc>
              <w:tc>
                <w:tcPr>
                  <w:tcW w:w="1280" w:type="dxa"/>
                  <w:tcBorders>
                    <w:top w:val="single" w:sz="4" w:space="0" w:color="C0C0C0"/>
                    <w:left w:val="single" w:sz="4" w:space="0" w:color="C0C0C0"/>
                    <w:bottom w:val="single" w:sz="4" w:space="0" w:color="C0C0C0"/>
                    <w:right w:val="nil"/>
                  </w:tcBorders>
                  <w:shd w:val="clear" w:color="000000" w:fill="DFDFDF"/>
                  <w:vAlign w:val="center"/>
                  <w:hideMark/>
                </w:tcPr>
                <w:p w14:paraId="551801A5" w14:textId="77777777" w:rsidR="00C9653E" w:rsidRPr="007334AD" w:rsidRDefault="00C9653E" w:rsidP="00C9653E">
                  <w:pPr>
                    <w:spacing w:after="0" w:line="240" w:lineRule="auto"/>
                    <w:jc w:val="both"/>
                    <w:rPr>
                      <w:rFonts w:ascii="Times New Roman" w:eastAsia="Times New Roman" w:hAnsi="Times New Roman" w:cs="Times New Roman"/>
                      <w:b/>
                      <w:bCs/>
                      <w:sz w:val="24"/>
                      <w:szCs w:val="24"/>
                      <w:lang w:eastAsia="lv-LV"/>
                    </w:rPr>
                  </w:pPr>
                  <w:r w:rsidRPr="007334AD">
                    <w:rPr>
                      <w:rFonts w:ascii="Times New Roman" w:eastAsia="Times New Roman" w:hAnsi="Times New Roman" w:cs="Times New Roman"/>
                      <w:b/>
                      <w:bCs/>
                      <w:sz w:val="24"/>
                      <w:szCs w:val="24"/>
                      <w:lang w:eastAsia="lv-LV"/>
                    </w:rPr>
                    <w:t>Lietas pamatveids</w:t>
                  </w:r>
                </w:p>
              </w:tc>
              <w:tc>
                <w:tcPr>
                  <w:tcW w:w="1381" w:type="dxa"/>
                  <w:tcBorders>
                    <w:top w:val="single" w:sz="4" w:space="0" w:color="C0C0C0"/>
                    <w:left w:val="single" w:sz="4" w:space="0" w:color="C0C0C0"/>
                    <w:bottom w:val="single" w:sz="4" w:space="0" w:color="C0C0C0"/>
                    <w:right w:val="nil"/>
                  </w:tcBorders>
                  <w:shd w:val="clear" w:color="000000" w:fill="DFDFDF"/>
                  <w:vAlign w:val="bottom"/>
                  <w:hideMark/>
                </w:tcPr>
                <w:p w14:paraId="15040191" w14:textId="77777777" w:rsidR="00C9653E" w:rsidRPr="007334AD" w:rsidRDefault="00C9653E" w:rsidP="00C9653E">
                  <w:pPr>
                    <w:spacing w:after="0" w:line="240" w:lineRule="auto"/>
                    <w:jc w:val="both"/>
                    <w:rPr>
                      <w:rFonts w:ascii="Times New Roman" w:eastAsia="Times New Roman" w:hAnsi="Times New Roman" w:cs="Times New Roman"/>
                      <w:b/>
                      <w:bCs/>
                      <w:sz w:val="24"/>
                      <w:szCs w:val="24"/>
                      <w:lang w:eastAsia="lv-LV"/>
                    </w:rPr>
                  </w:pPr>
                  <w:r w:rsidRPr="007334AD">
                    <w:rPr>
                      <w:rFonts w:ascii="Times New Roman" w:eastAsia="Times New Roman" w:hAnsi="Times New Roman" w:cs="Times New Roman"/>
                      <w:b/>
                      <w:bCs/>
                      <w:sz w:val="24"/>
                      <w:szCs w:val="24"/>
                      <w:lang w:eastAsia="lv-LV"/>
                    </w:rPr>
                    <w:t>Lietu skaits (saņemtas lietas)</w:t>
                  </w:r>
                </w:p>
              </w:tc>
              <w:tc>
                <w:tcPr>
                  <w:tcW w:w="1280" w:type="dxa"/>
                  <w:tcBorders>
                    <w:top w:val="single" w:sz="4" w:space="0" w:color="C0C0C0"/>
                    <w:left w:val="single" w:sz="4" w:space="0" w:color="C0C0C0"/>
                    <w:bottom w:val="single" w:sz="4" w:space="0" w:color="C0C0C0"/>
                    <w:right w:val="single" w:sz="4" w:space="0" w:color="C0C0C0"/>
                  </w:tcBorders>
                  <w:shd w:val="clear" w:color="000000" w:fill="DFDFDF"/>
                  <w:vAlign w:val="bottom"/>
                  <w:hideMark/>
                </w:tcPr>
                <w:p w14:paraId="55BCDD5C" w14:textId="77777777" w:rsidR="00C9653E" w:rsidRPr="007334AD" w:rsidRDefault="00C9653E" w:rsidP="00C9653E">
                  <w:pPr>
                    <w:spacing w:after="0" w:line="240" w:lineRule="auto"/>
                    <w:jc w:val="both"/>
                    <w:rPr>
                      <w:rFonts w:ascii="Times New Roman" w:eastAsia="Times New Roman" w:hAnsi="Times New Roman" w:cs="Times New Roman"/>
                      <w:b/>
                      <w:bCs/>
                      <w:sz w:val="24"/>
                      <w:szCs w:val="24"/>
                      <w:lang w:eastAsia="lv-LV"/>
                    </w:rPr>
                  </w:pPr>
                  <w:r w:rsidRPr="007334AD">
                    <w:rPr>
                      <w:rFonts w:ascii="Times New Roman" w:eastAsia="Times New Roman" w:hAnsi="Times New Roman" w:cs="Times New Roman"/>
                      <w:b/>
                      <w:bCs/>
                      <w:sz w:val="24"/>
                      <w:szCs w:val="24"/>
                      <w:lang w:eastAsia="lv-LV"/>
                    </w:rPr>
                    <w:t>Lietu skaits (izskatītas) 1.2</w:t>
                  </w:r>
                </w:p>
              </w:tc>
            </w:tr>
            <w:tr w:rsidR="00C9653E" w:rsidRPr="007334AD" w14:paraId="6447F496" w14:textId="77777777" w:rsidTr="00C9653E">
              <w:trPr>
                <w:trHeight w:val="431"/>
                <w:jc w:val="center"/>
              </w:trPr>
              <w:tc>
                <w:tcPr>
                  <w:tcW w:w="1237" w:type="dxa"/>
                  <w:vMerge w:val="restart"/>
                  <w:tcBorders>
                    <w:top w:val="nil"/>
                    <w:left w:val="single" w:sz="4" w:space="0" w:color="C0C0C0"/>
                    <w:bottom w:val="single" w:sz="4" w:space="0" w:color="C0C0C0"/>
                    <w:right w:val="nil"/>
                  </w:tcBorders>
                  <w:shd w:val="clear" w:color="000000" w:fill="FFFFFF"/>
                  <w:vAlign w:val="center"/>
                  <w:hideMark/>
                </w:tcPr>
                <w:p w14:paraId="0AFB5CEE"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Kurzemes apgabaltiesa</w:t>
                  </w:r>
                </w:p>
              </w:tc>
              <w:tc>
                <w:tcPr>
                  <w:tcW w:w="1280" w:type="dxa"/>
                  <w:tcBorders>
                    <w:top w:val="nil"/>
                    <w:left w:val="single" w:sz="4" w:space="0" w:color="C0C0C0"/>
                    <w:bottom w:val="single" w:sz="4" w:space="0" w:color="C0C0C0"/>
                    <w:right w:val="nil"/>
                  </w:tcBorders>
                  <w:shd w:val="clear" w:color="000000" w:fill="FFFFFF"/>
                  <w:vAlign w:val="center"/>
                  <w:hideMark/>
                </w:tcPr>
                <w:p w14:paraId="6828CCA2"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Krimināllietas</w:t>
                  </w:r>
                </w:p>
              </w:tc>
              <w:tc>
                <w:tcPr>
                  <w:tcW w:w="1381" w:type="dxa"/>
                  <w:tcBorders>
                    <w:top w:val="nil"/>
                    <w:left w:val="single" w:sz="4" w:space="0" w:color="C0C0C0"/>
                    <w:bottom w:val="single" w:sz="4" w:space="0" w:color="C0C0C0"/>
                    <w:right w:val="nil"/>
                  </w:tcBorders>
                  <w:shd w:val="clear" w:color="000000" w:fill="FFFFFF"/>
                  <w:noWrap/>
                  <w:vAlign w:val="center"/>
                  <w:hideMark/>
                </w:tcPr>
                <w:p w14:paraId="003F4935"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309</w:t>
                  </w:r>
                </w:p>
              </w:tc>
              <w:tc>
                <w:tcPr>
                  <w:tcW w:w="1280" w:type="dxa"/>
                  <w:tcBorders>
                    <w:top w:val="nil"/>
                    <w:left w:val="single" w:sz="4" w:space="0" w:color="C0C0C0"/>
                    <w:bottom w:val="single" w:sz="4" w:space="0" w:color="C0C0C0"/>
                    <w:right w:val="single" w:sz="4" w:space="0" w:color="C0C0C0"/>
                  </w:tcBorders>
                  <w:shd w:val="clear" w:color="000000" w:fill="FFFFFF"/>
                  <w:noWrap/>
                  <w:vAlign w:val="center"/>
                  <w:hideMark/>
                </w:tcPr>
                <w:p w14:paraId="16E82E61"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313</w:t>
                  </w:r>
                </w:p>
              </w:tc>
            </w:tr>
            <w:tr w:rsidR="00C9653E" w:rsidRPr="007334AD" w14:paraId="6360FA23" w14:textId="77777777" w:rsidTr="00C9653E">
              <w:trPr>
                <w:trHeight w:val="431"/>
                <w:jc w:val="center"/>
              </w:trPr>
              <w:tc>
                <w:tcPr>
                  <w:tcW w:w="1237" w:type="dxa"/>
                  <w:vMerge/>
                  <w:tcBorders>
                    <w:top w:val="nil"/>
                    <w:left w:val="single" w:sz="4" w:space="0" w:color="C0C0C0"/>
                    <w:bottom w:val="single" w:sz="4" w:space="0" w:color="C0C0C0"/>
                    <w:right w:val="nil"/>
                  </w:tcBorders>
                  <w:vAlign w:val="center"/>
                  <w:hideMark/>
                </w:tcPr>
                <w:p w14:paraId="377F134A"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p>
              </w:tc>
              <w:tc>
                <w:tcPr>
                  <w:tcW w:w="1280" w:type="dxa"/>
                  <w:tcBorders>
                    <w:top w:val="nil"/>
                    <w:left w:val="single" w:sz="4" w:space="0" w:color="C0C0C0"/>
                    <w:bottom w:val="single" w:sz="4" w:space="0" w:color="C0C0C0"/>
                    <w:right w:val="nil"/>
                  </w:tcBorders>
                  <w:shd w:val="clear" w:color="000000" w:fill="FFFFFF"/>
                  <w:vAlign w:val="center"/>
                  <w:hideMark/>
                </w:tcPr>
                <w:p w14:paraId="2113C00C"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APK lietas</w:t>
                  </w:r>
                </w:p>
              </w:tc>
              <w:tc>
                <w:tcPr>
                  <w:tcW w:w="1381" w:type="dxa"/>
                  <w:tcBorders>
                    <w:top w:val="nil"/>
                    <w:left w:val="single" w:sz="4" w:space="0" w:color="C0C0C0"/>
                    <w:bottom w:val="single" w:sz="4" w:space="0" w:color="C0C0C0"/>
                    <w:right w:val="nil"/>
                  </w:tcBorders>
                  <w:shd w:val="clear" w:color="000000" w:fill="FFFFFF"/>
                  <w:noWrap/>
                  <w:vAlign w:val="center"/>
                  <w:hideMark/>
                </w:tcPr>
                <w:p w14:paraId="0DBB4EC0"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229</w:t>
                  </w:r>
                </w:p>
              </w:tc>
              <w:tc>
                <w:tcPr>
                  <w:tcW w:w="1280" w:type="dxa"/>
                  <w:tcBorders>
                    <w:top w:val="nil"/>
                    <w:left w:val="single" w:sz="4" w:space="0" w:color="C0C0C0"/>
                    <w:bottom w:val="single" w:sz="4" w:space="0" w:color="C0C0C0"/>
                    <w:right w:val="single" w:sz="4" w:space="0" w:color="C0C0C0"/>
                  </w:tcBorders>
                  <w:shd w:val="clear" w:color="000000" w:fill="FFFFFF"/>
                  <w:noWrap/>
                  <w:vAlign w:val="center"/>
                  <w:hideMark/>
                </w:tcPr>
                <w:p w14:paraId="65C8CCAD"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231</w:t>
                  </w:r>
                </w:p>
              </w:tc>
            </w:tr>
            <w:tr w:rsidR="00C9653E" w:rsidRPr="007334AD" w14:paraId="4D2EDFA8" w14:textId="77777777" w:rsidTr="00C9653E">
              <w:trPr>
                <w:trHeight w:val="431"/>
                <w:jc w:val="center"/>
              </w:trPr>
              <w:tc>
                <w:tcPr>
                  <w:tcW w:w="1237" w:type="dxa"/>
                  <w:vMerge w:val="restart"/>
                  <w:tcBorders>
                    <w:top w:val="nil"/>
                    <w:left w:val="single" w:sz="4" w:space="0" w:color="C0C0C0"/>
                    <w:bottom w:val="single" w:sz="4" w:space="0" w:color="C0C0C0"/>
                    <w:right w:val="nil"/>
                  </w:tcBorders>
                  <w:shd w:val="clear" w:color="000000" w:fill="FFFFFF"/>
                  <w:vAlign w:val="center"/>
                  <w:hideMark/>
                </w:tcPr>
                <w:p w14:paraId="1A690322"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Latgales apgabaltiesa</w:t>
                  </w:r>
                </w:p>
              </w:tc>
              <w:tc>
                <w:tcPr>
                  <w:tcW w:w="1280" w:type="dxa"/>
                  <w:tcBorders>
                    <w:top w:val="nil"/>
                    <w:left w:val="single" w:sz="4" w:space="0" w:color="C0C0C0"/>
                    <w:bottom w:val="single" w:sz="4" w:space="0" w:color="C0C0C0"/>
                    <w:right w:val="nil"/>
                  </w:tcBorders>
                  <w:shd w:val="clear" w:color="000000" w:fill="FFFFFF"/>
                  <w:vAlign w:val="center"/>
                  <w:hideMark/>
                </w:tcPr>
                <w:p w14:paraId="49A9F0D7"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Krimināllietas</w:t>
                  </w:r>
                </w:p>
              </w:tc>
              <w:tc>
                <w:tcPr>
                  <w:tcW w:w="1381" w:type="dxa"/>
                  <w:tcBorders>
                    <w:top w:val="nil"/>
                    <w:left w:val="single" w:sz="4" w:space="0" w:color="C0C0C0"/>
                    <w:bottom w:val="single" w:sz="4" w:space="0" w:color="C0C0C0"/>
                    <w:right w:val="nil"/>
                  </w:tcBorders>
                  <w:shd w:val="clear" w:color="000000" w:fill="FFFFFF"/>
                  <w:noWrap/>
                  <w:vAlign w:val="center"/>
                  <w:hideMark/>
                </w:tcPr>
                <w:p w14:paraId="17893882"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263</w:t>
                  </w:r>
                </w:p>
              </w:tc>
              <w:tc>
                <w:tcPr>
                  <w:tcW w:w="1280" w:type="dxa"/>
                  <w:tcBorders>
                    <w:top w:val="nil"/>
                    <w:left w:val="single" w:sz="4" w:space="0" w:color="C0C0C0"/>
                    <w:bottom w:val="single" w:sz="4" w:space="0" w:color="C0C0C0"/>
                    <w:right w:val="single" w:sz="4" w:space="0" w:color="C0C0C0"/>
                  </w:tcBorders>
                  <w:shd w:val="clear" w:color="000000" w:fill="FFFFFF"/>
                  <w:noWrap/>
                  <w:vAlign w:val="center"/>
                  <w:hideMark/>
                </w:tcPr>
                <w:p w14:paraId="064982E3"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256</w:t>
                  </w:r>
                </w:p>
              </w:tc>
            </w:tr>
            <w:tr w:rsidR="00C9653E" w:rsidRPr="007334AD" w14:paraId="6CD527F2" w14:textId="77777777" w:rsidTr="00C9653E">
              <w:trPr>
                <w:trHeight w:val="431"/>
                <w:jc w:val="center"/>
              </w:trPr>
              <w:tc>
                <w:tcPr>
                  <w:tcW w:w="1237" w:type="dxa"/>
                  <w:vMerge/>
                  <w:tcBorders>
                    <w:top w:val="nil"/>
                    <w:left w:val="single" w:sz="4" w:space="0" w:color="C0C0C0"/>
                    <w:bottom w:val="single" w:sz="4" w:space="0" w:color="C0C0C0"/>
                    <w:right w:val="nil"/>
                  </w:tcBorders>
                  <w:vAlign w:val="center"/>
                  <w:hideMark/>
                </w:tcPr>
                <w:p w14:paraId="1A471BC8"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p>
              </w:tc>
              <w:tc>
                <w:tcPr>
                  <w:tcW w:w="1280" w:type="dxa"/>
                  <w:tcBorders>
                    <w:top w:val="nil"/>
                    <w:left w:val="single" w:sz="4" w:space="0" w:color="C0C0C0"/>
                    <w:bottom w:val="single" w:sz="4" w:space="0" w:color="C0C0C0"/>
                    <w:right w:val="nil"/>
                  </w:tcBorders>
                  <w:shd w:val="clear" w:color="000000" w:fill="FFFFFF"/>
                  <w:vAlign w:val="center"/>
                  <w:hideMark/>
                </w:tcPr>
                <w:p w14:paraId="350182C7"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APK lietas</w:t>
                  </w:r>
                </w:p>
              </w:tc>
              <w:tc>
                <w:tcPr>
                  <w:tcW w:w="1381" w:type="dxa"/>
                  <w:tcBorders>
                    <w:top w:val="nil"/>
                    <w:left w:val="single" w:sz="4" w:space="0" w:color="C0C0C0"/>
                    <w:bottom w:val="single" w:sz="4" w:space="0" w:color="C0C0C0"/>
                    <w:right w:val="nil"/>
                  </w:tcBorders>
                  <w:shd w:val="clear" w:color="000000" w:fill="FFFFFF"/>
                  <w:noWrap/>
                  <w:vAlign w:val="center"/>
                  <w:hideMark/>
                </w:tcPr>
                <w:p w14:paraId="1602CBD6"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200</w:t>
                  </w:r>
                </w:p>
              </w:tc>
              <w:tc>
                <w:tcPr>
                  <w:tcW w:w="1280" w:type="dxa"/>
                  <w:tcBorders>
                    <w:top w:val="nil"/>
                    <w:left w:val="single" w:sz="4" w:space="0" w:color="C0C0C0"/>
                    <w:bottom w:val="single" w:sz="4" w:space="0" w:color="C0C0C0"/>
                    <w:right w:val="single" w:sz="4" w:space="0" w:color="C0C0C0"/>
                  </w:tcBorders>
                  <w:shd w:val="clear" w:color="000000" w:fill="FFFFFF"/>
                  <w:noWrap/>
                  <w:vAlign w:val="center"/>
                  <w:hideMark/>
                </w:tcPr>
                <w:p w14:paraId="0452856C"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207</w:t>
                  </w:r>
                </w:p>
              </w:tc>
            </w:tr>
            <w:tr w:rsidR="00C9653E" w:rsidRPr="007334AD" w14:paraId="28FFC464" w14:textId="77777777" w:rsidTr="00C9653E">
              <w:trPr>
                <w:trHeight w:val="431"/>
                <w:jc w:val="center"/>
              </w:trPr>
              <w:tc>
                <w:tcPr>
                  <w:tcW w:w="1237" w:type="dxa"/>
                  <w:vMerge w:val="restart"/>
                  <w:tcBorders>
                    <w:top w:val="nil"/>
                    <w:left w:val="single" w:sz="4" w:space="0" w:color="C0C0C0"/>
                    <w:bottom w:val="single" w:sz="4" w:space="0" w:color="C0C0C0"/>
                    <w:right w:val="nil"/>
                  </w:tcBorders>
                  <w:shd w:val="clear" w:color="000000" w:fill="FFFFFF"/>
                  <w:vAlign w:val="center"/>
                  <w:hideMark/>
                </w:tcPr>
                <w:p w14:paraId="486A5318"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Rīgas apgabaltiesa</w:t>
                  </w:r>
                </w:p>
              </w:tc>
              <w:tc>
                <w:tcPr>
                  <w:tcW w:w="1280" w:type="dxa"/>
                  <w:tcBorders>
                    <w:top w:val="nil"/>
                    <w:left w:val="single" w:sz="4" w:space="0" w:color="C0C0C0"/>
                    <w:bottom w:val="single" w:sz="4" w:space="0" w:color="C0C0C0"/>
                    <w:right w:val="nil"/>
                  </w:tcBorders>
                  <w:shd w:val="clear" w:color="000000" w:fill="FFFFFF"/>
                  <w:vAlign w:val="center"/>
                  <w:hideMark/>
                </w:tcPr>
                <w:p w14:paraId="32029404"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Krimināllietas</w:t>
                  </w:r>
                </w:p>
              </w:tc>
              <w:tc>
                <w:tcPr>
                  <w:tcW w:w="1381" w:type="dxa"/>
                  <w:tcBorders>
                    <w:top w:val="nil"/>
                    <w:left w:val="single" w:sz="4" w:space="0" w:color="C0C0C0"/>
                    <w:bottom w:val="single" w:sz="4" w:space="0" w:color="C0C0C0"/>
                    <w:right w:val="nil"/>
                  </w:tcBorders>
                  <w:shd w:val="clear" w:color="000000" w:fill="FFFFFF"/>
                  <w:noWrap/>
                  <w:vAlign w:val="center"/>
                  <w:hideMark/>
                </w:tcPr>
                <w:p w14:paraId="27F51E31"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1376</w:t>
                  </w:r>
                </w:p>
              </w:tc>
              <w:tc>
                <w:tcPr>
                  <w:tcW w:w="1280" w:type="dxa"/>
                  <w:tcBorders>
                    <w:top w:val="nil"/>
                    <w:left w:val="single" w:sz="4" w:space="0" w:color="C0C0C0"/>
                    <w:bottom w:val="single" w:sz="4" w:space="0" w:color="C0C0C0"/>
                    <w:right w:val="single" w:sz="4" w:space="0" w:color="C0C0C0"/>
                  </w:tcBorders>
                  <w:shd w:val="clear" w:color="000000" w:fill="FFFFFF"/>
                  <w:noWrap/>
                  <w:vAlign w:val="center"/>
                  <w:hideMark/>
                </w:tcPr>
                <w:p w14:paraId="0194153F"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1320</w:t>
                  </w:r>
                </w:p>
              </w:tc>
            </w:tr>
            <w:tr w:rsidR="00C9653E" w:rsidRPr="007334AD" w14:paraId="2D7FDE64" w14:textId="77777777" w:rsidTr="00C9653E">
              <w:trPr>
                <w:trHeight w:val="431"/>
                <w:jc w:val="center"/>
              </w:trPr>
              <w:tc>
                <w:tcPr>
                  <w:tcW w:w="1237" w:type="dxa"/>
                  <w:vMerge/>
                  <w:tcBorders>
                    <w:top w:val="nil"/>
                    <w:left w:val="single" w:sz="4" w:space="0" w:color="C0C0C0"/>
                    <w:bottom w:val="single" w:sz="4" w:space="0" w:color="C0C0C0"/>
                    <w:right w:val="nil"/>
                  </w:tcBorders>
                  <w:vAlign w:val="center"/>
                  <w:hideMark/>
                </w:tcPr>
                <w:p w14:paraId="771DF423"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p>
              </w:tc>
              <w:tc>
                <w:tcPr>
                  <w:tcW w:w="1280" w:type="dxa"/>
                  <w:tcBorders>
                    <w:top w:val="nil"/>
                    <w:left w:val="single" w:sz="4" w:space="0" w:color="C0C0C0"/>
                    <w:bottom w:val="single" w:sz="4" w:space="0" w:color="C0C0C0"/>
                    <w:right w:val="nil"/>
                  </w:tcBorders>
                  <w:shd w:val="clear" w:color="000000" w:fill="FFFFFF"/>
                  <w:vAlign w:val="center"/>
                  <w:hideMark/>
                </w:tcPr>
                <w:p w14:paraId="532BD6D1"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APK lietas</w:t>
                  </w:r>
                </w:p>
              </w:tc>
              <w:tc>
                <w:tcPr>
                  <w:tcW w:w="1381" w:type="dxa"/>
                  <w:tcBorders>
                    <w:top w:val="nil"/>
                    <w:left w:val="single" w:sz="4" w:space="0" w:color="C0C0C0"/>
                    <w:bottom w:val="single" w:sz="4" w:space="0" w:color="C0C0C0"/>
                    <w:right w:val="nil"/>
                  </w:tcBorders>
                  <w:shd w:val="clear" w:color="000000" w:fill="FFFFFF"/>
                  <w:noWrap/>
                  <w:vAlign w:val="center"/>
                  <w:hideMark/>
                </w:tcPr>
                <w:p w14:paraId="53DCE7F7"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1493</w:t>
                  </w:r>
                </w:p>
              </w:tc>
              <w:tc>
                <w:tcPr>
                  <w:tcW w:w="1280" w:type="dxa"/>
                  <w:tcBorders>
                    <w:top w:val="nil"/>
                    <w:left w:val="single" w:sz="4" w:space="0" w:color="C0C0C0"/>
                    <w:bottom w:val="single" w:sz="4" w:space="0" w:color="C0C0C0"/>
                    <w:right w:val="single" w:sz="4" w:space="0" w:color="C0C0C0"/>
                  </w:tcBorders>
                  <w:shd w:val="clear" w:color="000000" w:fill="FFFFFF"/>
                  <w:noWrap/>
                  <w:vAlign w:val="center"/>
                  <w:hideMark/>
                </w:tcPr>
                <w:p w14:paraId="5CBBD8FA"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1441</w:t>
                  </w:r>
                </w:p>
              </w:tc>
            </w:tr>
            <w:tr w:rsidR="00C9653E" w:rsidRPr="007334AD" w14:paraId="23BAA055" w14:textId="77777777" w:rsidTr="00C9653E">
              <w:trPr>
                <w:trHeight w:val="431"/>
                <w:jc w:val="center"/>
              </w:trPr>
              <w:tc>
                <w:tcPr>
                  <w:tcW w:w="1237" w:type="dxa"/>
                  <w:vMerge w:val="restart"/>
                  <w:tcBorders>
                    <w:top w:val="nil"/>
                    <w:left w:val="single" w:sz="4" w:space="0" w:color="C0C0C0"/>
                    <w:bottom w:val="single" w:sz="4" w:space="0" w:color="C0C0C0"/>
                    <w:right w:val="nil"/>
                  </w:tcBorders>
                  <w:shd w:val="clear" w:color="000000" w:fill="FFFFFF"/>
                  <w:vAlign w:val="center"/>
                  <w:hideMark/>
                </w:tcPr>
                <w:p w14:paraId="1D836790"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Vidzemes apgabaltiesa</w:t>
                  </w:r>
                </w:p>
              </w:tc>
              <w:tc>
                <w:tcPr>
                  <w:tcW w:w="1280" w:type="dxa"/>
                  <w:tcBorders>
                    <w:top w:val="nil"/>
                    <w:left w:val="single" w:sz="4" w:space="0" w:color="C0C0C0"/>
                    <w:bottom w:val="single" w:sz="4" w:space="0" w:color="C0C0C0"/>
                    <w:right w:val="nil"/>
                  </w:tcBorders>
                  <w:shd w:val="clear" w:color="000000" w:fill="FFFFFF"/>
                  <w:vAlign w:val="center"/>
                  <w:hideMark/>
                </w:tcPr>
                <w:p w14:paraId="5528D2DB"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Krimināllietas</w:t>
                  </w:r>
                </w:p>
              </w:tc>
              <w:tc>
                <w:tcPr>
                  <w:tcW w:w="1381" w:type="dxa"/>
                  <w:tcBorders>
                    <w:top w:val="nil"/>
                    <w:left w:val="single" w:sz="4" w:space="0" w:color="C0C0C0"/>
                    <w:bottom w:val="single" w:sz="4" w:space="0" w:color="C0C0C0"/>
                    <w:right w:val="nil"/>
                  </w:tcBorders>
                  <w:shd w:val="clear" w:color="000000" w:fill="FFFFFF"/>
                  <w:noWrap/>
                  <w:vAlign w:val="center"/>
                  <w:hideMark/>
                </w:tcPr>
                <w:p w14:paraId="1A2E09B5"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237</w:t>
                  </w:r>
                </w:p>
              </w:tc>
              <w:tc>
                <w:tcPr>
                  <w:tcW w:w="1280" w:type="dxa"/>
                  <w:tcBorders>
                    <w:top w:val="nil"/>
                    <w:left w:val="single" w:sz="4" w:space="0" w:color="C0C0C0"/>
                    <w:bottom w:val="single" w:sz="4" w:space="0" w:color="C0C0C0"/>
                    <w:right w:val="single" w:sz="4" w:space="0" w:color="C0C0C0"/>
                  </w:tcBorders>
                  <w:shd w:val="clear" w:color="000000" w:fill="FFFFFF"/>
                  <w:noWrap/>
                  <w:vAlign w:val="center"/>
                  <w:hideMark/>
                </w:tcPr>
                <w:p w14:paraId="733718AD"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233</w:t>
                  </w:r>
                </w:p>
              </w:tc>
            </w:tr>
            <w:tr w:rsidR="00C9653E" w:rsidRPr="007334AD" w14:paraId="2D0AB6CE" w14:textId="77777777" w:rsidTr="00C9653E">
              <w:trPr>
                <w:trHeight w:val="431"/>
                <w:jc w:val="center"/>
              </w:trPr>
              <w:tc>
                <w:tcPr>
                  <w:tcW w:w="1237" w:type="dxa"/>
                  <w:vMerge/>
                  <w:tcBorders>
                    <w:top w:val="nil"/>
                    <w:left w:val="single" w:sz="4" w:space="0" w:color="C0C0C0"/>
                    <w:bottom w:val="single" w:sz="4" w:space="0" w:color="C0C0C0"/>
                    <w:right w:val="nil"/>
                  </w:tcBorders>
                  <w:vAlign w:val="center"/>
                  <w:hideMark/>
                </w:tcPr>
                <w:p w14:paraId="49A59D8B"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p>
              </w:tc>
              <w:tc>
                <w:tcPr>
                  <w:tcW w:w="1280" w:type="dxa"/>
                  <w:tcBorders>
                    <w:top w:val="nil"/>
                    <w:left w:val="single" w:sz="4" w:space="0" w:color="C0C0C0"/>
                    <w:bottom w:val="single" w:sz="4" w:space="0" w:color="C0C0C0"/>
                    <w:right w:val="nil"/>
                  </w:tcBorders>
                  <w:shd w:val="clear" w:color="000000" w:fill="FFFFFF"/>
                  <w:vAlign w:val="center"/>
                  <w:hideMark/>
                </w:tcPr>
                <w:p w14:paraId="7199ADF7"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APK lietas</w:t>
                  </w:r>
                </w:p>
              </w:tc>
              <w:tc>
                <w:tcPr>
                  <w:tcW w:w="1381" w:type="dxa"/>
                  <w:tcBorders>
                    <w:top w:val="nil"/>
                    <w:left w:val="single" w:sz="4" w:space="0" w:color="C0C0C0"/>
                    <w:bottom w:val="single" w:sz="4" w:space="0" w:color="C0C0C0"/>
                    <w:right w:val="nil"/>
                  </w:tcBorders>
                  <w:shd w:val="clear" w:color="000000" w:fill="FFFFFF"/>
                  <w:noWrap/>
                  <w:vAlign w:val="center"/>
                  <w:hideMark/>
                </w:tcPr>
                <w:p w14:paraId="2FB3E015"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165</w:t>
                  </w:r>
                </w:p>
              </w:tc>
              <w:tc>
                <w:tcPr>
                  <w:tcW w:w="1280" w:type="dxa"/>
                  <w:tcBorders>
                    <w:top w:val="nil"/>
                    <w:left w:val="single" w:sz="4" w:space="0" w:color="C0C0C0"/>
                    <w:bottom w:val="single" w:sz="4" w:space="0" w:color="C0C0C0"/>
                    <w:right w:val="single" w:sz="4" w:space="0" w:color="C0C0C0"/>
                  </w:tcBorders>
                  <w:shd w:val="clear" w:color="000000" w:fill="FFFFFF"/>
                  <w:noWrap/>
                  <w:vAlign w:val="center"/>
                  <w:hideMark/>
                </w:tcPr>
                <w:p w14:paraId="22A84924"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164</w:t>
                  </w:r>
                </w:p>
              </w:tc>
            </w:tr>
            <w:tr w:rsidR="00C9653E" w:rsidRPr="007334AD" w14:paraId="4F062CEF" w14:textId="77777777" w:rsidTr="00C9653E">
              <w:trPr>
                <w:trHeight w:val="431"/>
                <w:jc w:val="center"/>
              </w:trPr>
              <w:tc>
                <w:tcPr>
                  <w:tcW w:w="1237" w:type="dxa"/>
                  <w:vMerge w:val="restart"/>
                  <w:tcBorders>
                    <w:top w:val="nil"/>
                    <w:left w:val="single" w:sz="4" w:space="0" w:color="C0C0C0"/>
                    <w:bottom w:val="single" w:sz="4" w:space="0" w:color="C0C0C0"/>
                    <w:right w:val="nil"/>
                  </w:tcBorders>
                  <w:shd w:val="clear" w:color="000000" w:fill="FFFFFF"/>
                  <w:vAlign w:val="center"/>
                  <w:hideMark/>
                </w:tcPr>
                <w:p w14:paraId="0F13D6AE"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Zemgales apgabaltiesa</w:t>
                  </w:r>
                </w:p>
              </w:tc>
              <w:tc>
                <w:tcPr>
                  <w:tcW w:w="1280" w:type="dxa"/>
                  <w:tcBorders>
                    <w:top w:val="nil"/>
                    <w:left w:val="single" w:sz="4" w:space="0" w:color="C0C0C0"/>
                    <w:bottom w:val="single" w:sz="4" w:space="0" w:color="C0C0C0"/>
                    <w:right w:val="nil"/>
                  </w:tcBorders>
                  <w:shd w:val="clear" w:color="000000" w:fill="FFFFFF"/>
                  <w:vAlign w:val="center"/>
                  <w:hideMark/>
                </w:tcPr>
                <w:p w14:paraId="071F7C86"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Krimināllietas</w:t>
                  </w:r>
                </w:p>
              </w:tc>
              <w:tc>
                <w:tcPr>
                  <w:tcW w:w="1381" w:type="dxa"/>
                  <w:tcBorders>
                    <w:top w:val="nil"/>
                    <w:left w:val="single" w:sz="4" w:space="0" w:color="C0C0C0"/>
                    <w:bottom w:val="single" w:sz="4" w:space="0" w:color="C0C0C0"/>
                    <w:right w:val="nil"/>
                  </w:tcBorders>
                  <w:shd w:val="clear" w:color="000000" w:fill="FFFFFF"/>
                  <w:noWrap/>
                  <w:vAlign w:val="center"/>
                  <w:hideMark/>
                </w:tcPr>
                <w:p w14:paraId="5DF8D3B4"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404</w:t>
                  </w:r>
                </w:p>
              </w:tc>
              <w:tc>
                <w:tcPr>
                  <w:tcW w:w="1280" w:type="dxa"/>
                  <w:tcBorders>
                    <w:top w:val="nil"/>
                    <w:left w:val="single" w:sz="4" w:space="0" w:color="C0C0C0"/>
                    <w:bottom w:val="single" w:sz="4" w:space="0" w:color="C0C0C0"/>
                    <w:right w:val="single" w:sz="4" w:space="0" w:color="C0C0C0"/>
                  </w:tcBorders>
                  <w:shd w:val="clear" w:color="000000" w:fill="FFFFFF"/>
                  <w:noWrap/>
                  <w:vAlign w:val="center"/>
                  <w:hideMark/>
                </w:tcPr>
                <w:p w14:paraId="2DDE94FB"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370</w:t>
                  </w:r>
                </w:p>
              </w:tc>
            </w:tr>
            <w:tr w:rsidR="00C9653E" w:rsidRPr="007334AD" w14:paraId="1273DF27" w14:textId="77777777" w:rsidTr="00C9653E">
              <w:trPr>
                <w:trHeight w:val="431"/>
                <w:jc w:val="center"/>
              </w:trPr>
              <w:tc>
                <w:tcPr>
                  <w:tcW w:w="1237" w:type="dxa"/>
                  <w:vMerge/>
                  <w:tcBorders>
                    <w:top w:val="nil"/>
                    <w:left w:val="single" w:sz="4" w:space="0" w:color="C0C0C0"/>
                    <w:bottom w:val="single" w:sz="4" w:space="0" w:color="C0C0C0"/>
                    <w:right w:val="nil"/>
                  </w:tcBorders>
                  <w:vAlign w:val="center"/>
                  <w:hideMark/>
                </w:tcPr>
                <w:p w14:paraId="3AF6BF2A"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p>
              </w:tc>
              <w:tc>
                <w:tcPr>
                  <w:tcW w:w="1280" w:type="dxa"/>
                  <w:tcBorders>
                    <w:top w:val="nil"/>
                    <w:left w:val="single" w:sz="4" w:space="0" w:color="C0C0C0"/>
                    <w:bottom w:val="single" w:sz="4" w:space="0" w:color="C0C0C0"/>
                    <w:right w:val="nil"/>
                  </w:tcBorders>
                  <w:shd w:val="clear" w:color="000000" w:fill="FFFFFF"/>
                  <w:vAlign w:val="center"/>
                  <w:hideMark/>
                </w:tcPr>
                <w:p w14:paraId="27108F24"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APK lietas</w:t>
                  </w:r>
                </w:p>
              </w:tc>
              <w:tc>
                <w:tcPr>
                  <w:tcW w:w="1381" w:type="dxa"/>
                  <w:tcBorders>
                    <w:top w:val="nil"/>
                    <w:left w:val="single" w:sz="4" w:space="0" w:color="C0C0C0"/>
                    <w:bottom w:val="single" w:sz="4" w:space="0" w:color="C0C0C0"/>
                    <w:right w:val="nil"/>
                  </w:tcBorders>
                  <w:shd w:val="clear" w:color="000000" w:fill="FFFFFF"/>
                  <w:noWrap/>
                  <w:vAlign w:val="center"/>
                  <w:hideMark/>
                </w:tcPr>
                <w:p w14:paraId="41502C99"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291</w:t>
                  </w:r>
                </w:p>
              </w:tc>
              <w:tc>
                <w:tcPr>
                  <w:tcW w:w="1280" w:type="dxa"/>
                  <w:tcBorders>
                    <w:top w:val="nil"/>
                    <w:left w:val="single" w:sz="4" w:space="0" w:color="C0C0C0"/>
                    <w:bottom w:val="single" w:sz="4" w:space="0" w:color="C0C0C0"/>
                    <w:right w:val="single" w:sz="4" w:space="0" w:color="C0C0C0"/>
                  </w:tcBorders>
                  <w:shd w:val="clear" w:color="000000" w:fill="FFFFFF"/>
                  <w:noWrap/>
                  <w:vAlign w:val="center"/>
                  <w:hideMark/>
                </w:tcPr>
                <w:p w14:paraId="3BCBBF3A"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252</w:t>
                  </w:r>
                </w:p>
              </w:tc>
            </w:tr>
          </w:tbl>
          <w:p w14:paraId="02448ECC" w14:textId="77777777" w:rsidR="00C9653E" w:rsidRPr="007334AD" w:rsidRDefault="00C9653E" w:rsidP="00C9653E">
            <w:pPr>
              <w:spacing w:after="0" w:line="240" w:lineRule="auto"/>
              <w:jc w:val="both"/>
              <w:rPr>
                <w:rFonts w:ascii="Times New Roman" w:hAnsi="Times New Roman" w:cs="Times New Roman"/>
                <w:i/>
                <w:sz w:val="24"/>
                <w:szCs w:val="24"/>
              </w:rPr>
            </w:pPr>
            <w:r w:rsidRPr="007334AD">
              <w:rPr>
                <w:rFonts w:ascii="Times New Roman" w:hAnsi="Times New Roman" w:cs="Times New Roman"/>
                <w:i/>
                <w:sz w:val="24"/>
                <w:szCs w:val="24"/>
              </w:rPr>
              <w:t>Tabula Nr. 1 Latvijas Republikas apgabaltiesu noslodze</w:t>
            </w:r>
          </w:p>
          <w:p w14:paraId="1B26E15B"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2020.gada 7.oktobrī Augstākā tiesa saņēma Judikatūras un zinātniski analītiskās nodaļas apkopoto informāciju par kasācijas instances tiesas noslodzi krimināllietās par laika posmu no 2019.gada janvārim līdz 2020.gada septembrim (ieskaitot). Judikatūras un zinātniski analītiskā nodaļa par kasācijas instances tiesu minētajā laika posmā sniedza šādus datus:</w:t>
            </w:r>
          </w:p>
          <w:tbl>
            <w:tblPr>
              <w:tblW w:w="5528" w:type="dxa"/>
              <w:jc w:val="center"/>
              <w:tblLayout w:type="fixed"/>
              <w:tblLook w:val="04A0" w:firstRow="1" w:lastRow="0" w:firstColumn="1" w:lastColumn="0" w:noHBand="0" w:noVBand="1"/>
            </w:tblPr>
            <w:tblGrid>
              <w:gridCol w:w="1320"/>
              <w:gridCol w:w="1367"/>
              <w:gridCol w:w="1474"/>
              <w:gridCol w:w="1367"/>
            </w:tblGrid>
            <w:tr w:rsidR="00C9653E" w:rsidRPr="007334AD" w14:paraId="1AD1B4EB" w14:textId="77777777" w:rsidTr="00C9653E">
              <w:trPr>
                <w:trHeight w:val="1150"/>
                <w:jc w:val="center"/>
              </w:trPr>
              <w:tc>
                <w:tcPr>
                  <w:tcW w:w="1320" w:type="dxa"/>
                  <w:tcBorders>
                    <w:top w:val="single" w:sz="4" w:space="0" w:color="C0C0C0"/>
                    <w:left w:val="single" w:sz="4" w:space="0" w:color="C0C0C0"/>
                    <w:bottom w:val="single" w:sz="4" w:space="0" w:color="C0C0C0"/>
                    <w:right w:val="nil"/>
                  </w:tcBorders>
                  <w:shd w:val="clear" w:color="000000" w:fill="DFDFDF"/>
                  <w:vAlign w:val="center"/>
                  <w:hideMark/>
                </w:tcPr>
                <w:p w14:paraId="3DA03135" w14:textId="77777777" w:rsidR="00C9653E" w:rsidRPr="007334AD" w:rsidRDefault="00C9653E" w:rsidP="00C9653E">
                  <w:pPr>
                    <w:spacing w:after="0" w:line="240" w:lineRule="auto"/>
                    <w:jc w:val="both"/>
                    <w:rPr>
                      <w:rFonts w:ascii="Times New Roman" w:eastAsia="Times New Roman" w:hAnsi="Times New Roman" w:cs="Times New Roman"/>
                      <w:b/>
                      <w:bCs/>
                      <w:sz w:val="24"/>
                      <w:szCs w:val="24"/>
                      <w:lang w:eastAsia="lv-LV"/>
                    </w:rPr>
                  </w:pPr>
                  <w:r w:rsidRPr="007334AD">
                    <w:rPr>
                      <w:rFonts w:ascii="Times New Roman" w:eastAsia="Times New Roman" w:hAnsi="Times New Roman" w:cs="Times New Roman"/>
                      <w:b/>
                      <w:bCs/>
                      <w:sz w:val="24"/>
                      <w:szCs w:val="24"/>
                      <w:lang w:eastAsia="lv-LV"/>
                    </w:rPr>
                    <w:lastRenderedPageBreak/>
                    <w:t>Tiesa</w:t>
                  </w:r>
                </w:p>
              </w:tc>
              <w:tc>
                <w:tcPr>
                  <w:tcW w:w="1367" w:type="dxa"/>
                  <w:tcBorders>
                    <w:top w:val="single" w:sz="4" w:space="0" w:color="C0C0C0"/>
                    <w:left w:val="single" w:sz="4" w:space="0" w:color="C0C0C0"/>
                    <w:bottom w:val="single" w:sz="4" w:space="0" w:color="C0C0C0"/>
                    <w:right w:val="nil"/>
                  </w:tcBorders>
                  <w:shd w:val="clear" w:color="000000" w:fill="DFDFDF"/>
                  <w:vAlign w:val="center"/>
                  <w:hideMark/>
                </w:tcPr>
                <w:p w14:paraId="458CA43B" w14:textId="77777777" w:rsidR="00C9653E" w:rsidRPr="007334AD" w:rsidRDefault="00C9653E" w:rsidP="00C9653E">
                  <w:pPr>
                    <w:spacing w:after="0" w:line="240" w:lineRule="auto"/>
                    <w:jc w:val="both"/>
                    <w:rPr>
                      <w:rFonts w:ascii="Times New Roman" w:eastAsia="Times New Roman" w:hAnsi="Times New Roman" w:cs="Times New Roman"/>
                      <w:b/>
                      <w:bCs/>
                      <w:sz w:val="24"/>
                      <w:szCs w:val="24"/>
                      <w:lang w:eastAsia="lv-LV"/>
                    </w:rPr>
                  </w:pPr>
                  <w:r w:rsidRPr="007334AD">
                    <w:rPr>
                      <w:rFonts w:ascii="Times New Roman" w:eastAsia="Times New Roman" w:hAnsi="Times New Roman" w:cs="Times New Roman"/>
                      <w:b/>
                      <w:bCs/>
                      <w:sz w:val="24"/>
                      <w:szCs w:val="24"/>
                      <w:lang w:eastAsia="lv-LV"/>
                    </w:rPr>
                    <w:t>Lietas pamatveids</w:t>
                  </w:r>
                </w:p>
              </w:tc>
              <w:tc>
                <w:tcPr>
                  <w:tcW w:w="1474" w:type="dxa"/>
                  <w:tcBorders>
                    <w:top w:val="single" w:sz="4" w:space="0" w:color="C0C0C0"/>
                    <w:left w:val="single" w:sz="4" w:space="0" w:color="C0C0C0"/>
                    <w:bottom w:val="single" w:sz="4" w:space="0" w:color="C0C0C0"/>
                    <w:right w:val="nil"/>
                  </w:tcBorders>
                  <w:shd w:val="clear" w:color="000000" w:fill="DFDFDF"/>
                  <w:vAlign w:val="bottom"/>
                  <w:hideMark/>
                </w:tcPr>
                <w:p w14:paraId="3F854D71" w14:textId="77777777" w:rsidR="00C9653E" w:rsidRPr="007334AD" w:rsidRDefault="00C9653E" w:rsidP="00C9653E">
                  <w:pPr>
                    <w:spacing w:after="0" w:line="240" w:lineRule="auto"/>
                    <w:jc w:val="both"/>
                    <w:rPr>
                      <w:rFonts w:ascii="Times New Roman" w:eastAsia="Times New Roman" w:hAnsi="Times New Roman" w:cs="Times New Roman"/>
                      <w:b/>
                      <w:bCs/>
                      <w:sz w:val="24"/>
                      <w:szCs w:val="24"/>
                      <w:lang w:eastAsia="lv-LV"/>
                    </w:rPr>
                  </w:pPr>
                  <w:r w:rsidRPr="007334AD">
                    <w:rPr>
                      <w:rFonts w:ascii="Times New Roman" w:eastAsia="Times New Roman" w:hAnsi="Times New Roman" w:cs="Times New Roman"/>
                      <w:b/>
                      <w:bCs/>
                      <w:sz w:val="24"/>
                      <w:szCs w:val="24"/>
                      <w:lang w:eastAsia="lv-LV"/>
                    </w:rPr>
                    <w:t>Lietu skaits (saņemtas lietas)</w:t>
                  </w:r>
                </w:p>
              </w:tc>
              <w:tc>
                <w:tcPr>
                  <w:tcW w:w="1367" w:type="dxa"/>
                  <w:tcBorders>
                    <w:top w:val="single" w:sz="4" w:space="0" w:color="C0C0C0"/>
                    <w:left w:val="single" w:sz="4" w:space="0" w:color="C0C0C0"/>
                    <w:bottom w:val="single" w:sz="4" w:space="0" w:color="C0C0C0"/>
                    <w:right w:val="single" w:sz="4" w:space="0" w:color="C0C0C0"/>
                  </w:tcBorders>
                  <w:shd w:val="clear" w:color="000000" w:fill="DFDFDF"/>
                  <w:vAlign w:val="bottom"/>
                  <w:hideMark/>
                </w:tcPr>
                <w:p w14:paraId="77F8B200" w14:textId="77777777" w:rsidR="00C9653E" w:rsidRPr="007334AD" w:rsidRDefault="00C9653E" w:rsidP="00C9653E">
                  <w:pPr>
                    <w:spacing w:after="0" w:line="240" w:lineRule="auto"/>
                    <w:jc w:val="both"/>
                    <w:rPr>
                      <w:rFonts w:ascii="Times New Roman" w:eastAsia="Times New Roman" w:hAnsi="Times New Roman" w:cs="Times New Roman"/>
                      <w:b/>
                      <w:bCs/>
                      <w:sz w:val="24"/>
                      <w:szCs w:val="24"/>
                      <w:lang w:eastAsia="lv-LV"/>
                    </w:rPr>
                  </w:pPr>
                  <w:r w:rsidRPr="007334AD">
                    <w:rPr>
                      <w:rFonts w:ascii="Times New Roman" w:eastAsia="Times New Roman" w:hAnsi="Times New Roman" w:cs="Times New Roman"/>
                      <w:b/>
                      <w:bCs/>
                      <w:sz w:val="24"/>
                      <w:szCs w:val="24"/>
                      <w:lang w:eastAsia="lv-LV"/>
                    </w:rPr>
                    <w:t>Lietu skaits (izskatītas) 1.2</w:t>
                  </w:r>
                </w:p>
              </w:tc>
            </w:tr>
            <w:tr w:rsidR="00C9653E" w:rsidRPr="007334AD" w14:paraId="7D73D3F4" w14:textId="77777777" w:rsidTr="00C9653E">
              <w:trPr>
                <w:trHeight w:val="575"/>
                <w:jc w:val="center"/>
              </w:trPr>
              <w:tc>
                <w:tcPr>
                  <w:tcW w:w="1320" w:type="dxa"/>
                  <w:vMerge w:val="restart"/>
                  <w:tcBorders>
                    <w:top w:val="nil"/>
                    <w:left w:val="single" w:sz="4" w:space="0" w:color="C0C0C0"/>
                    <w:bottom w:val="single" w:sz="4" w:space="0" w:color="C0C0C0"/>
                    <w:right w:val="nil"/>
                  </w:tcBorders>
                  <w:shd w:val="clear" w:color="000000" w:fill="FFFFFF"/>
                  <w:vAlign w:val="center"/>
                  <w:hideMark/>
                </w:tcPr>
                <w:p w14:paraId="7A166C37"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Augstākās tiesas krimināllietu departaments</w:t>
                  </w:r>
                </w:p>
              </w:tc>
              <w:tc>
                <w:tcPr>
                  <w:tcW w:w="1367" w:type="dxa"/>
                  <w:tcBorders>
                    <w:top w:val="nil"/>
                    <w:left w:val="single" w:sz="4" w:space="0" w:color="C0C0C0"/>
                    <w:bottom w:val="single" w:sz="4" w:space="0" w:color="C0C0C0"/>
                    <w:right w:val="nil"/>
                  </w:tcBorders>
                  <w:shd w:val="clear" w:color="000000" w:fill="FFFFFF"/>
                  <w:vAlign w:val="center"/>
                  <w:hideMark/>
                </w:tcPr>
                <w:p w14:paraId="494279CF"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Krimināllietas</w:t>
                  </w:r>
                </w:p>
              </w:tc>
              <w:tc>
                <w:tcPr>
                  <w:tcW w:w="1474" w:type="dxa"/>
                  <w:tcBorders>
                    <w:top w:val="nil"/>
                    <w:left w:val="single" w:sz="4" w:space="0" w:color="C0C0C0"/>
                    <w:bottom w:val="single" w:sz="4" w:space="0" w:color="C0C0C0"/>
                    <w:right w:val="nil"/>
                  </w:tcBorders>
                  <w:shd w:val="clear" w:color="000000" w:fill="FFFFFF"/>
                  <w:noWrap/>
                  <w:vAlign w:val="center"/>
                  <w:hideMark/>
                </w:tcPr>
                <w:p w14:paraId="1647CF8C"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1298</w:t>
                  </w:r>
                </w:p>
                <w:p w14:paraId="5BF1DD10"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764 (2019)</w:t>
                  </w:r>
                </w:p>
                <w:p w14:paraId="68BA9949"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534 (2020)</w:t>
                  </w:r>
                </w:p>
              </w:tc>
              <w:tc>
                <w:tcPr>
                  <w:tcW w:w="1367" w:type="dxa"/>
                  <w:tcBorders>
                    <w:top w:val="nil"/>
                    <w:left w:val="single" w:sz="4" w:space="0" w:color="C0C0C0"/>
                    <w:bottom w:val="single" w:sz="4" w:space="0" w:color="C0C0C0"/>
                    <w:right w:val="single" w:sz="4" w:space="0" w:color="C0C0C0"/>
                  </w:tcBorders>
                  <w:shd w:val="clear" w:color="000000" w:fill="FFFFFF"/>
                  <w:noWrap/>
                  <w:vAlign w:val="center"/>
                  <w:hideMark/>
                </w:tcPr>
                <w:p w14:paraId="599763A1"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1292</w:t>
                  </w:r>
                </w:p>
                <w:p w14:paraId="1FD5F6B9"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783 (2019)</w:t>
                  </w:r>
                </w:p>
                <w:p w14:paraId="6E66EBE0"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509 (2020)</w:t>
                  </w:r>
                </w:p>
              </w:tc>
            </w:tr>
            <w:tr w:rsidR="00C9653E" w:rsidRPr="007334AD" w14:paraId="67F8C276" w14:textId="77777777" w:rsidTr="00C9653E">
              <w:trPr>
                <w:trHeight w:val="575"/>
                <w:jc w:val="center"/>
              </w:trPr>
              <w:tc>
                <w:tcPr>
                  <w:tcW w:w="1320" w:type="dxa"/>
                  <w:vMerge/>
                  <w:tcBorders>
                    <w:top w:val="nil"/>
                    <w:left w:val="single" w:sz="4" w:space="0" w:color="C0C0C0"/>
                    <w:bottom w:val="single" w:sz="4" w:space="0" w:color="C0C0C0"/>
                    <w:right w:val="nil"/>
                  </w:tcBorders>
                  <w:vAlign w:val="center"/>
                  <w:hideMark/>
                </w:tcPr>
                <w:p w14:paraId="5F9720EA"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p>
              </w:tc>
              <w:tc>
                <w:tcPr>
                  <w:tcW w:w="1367" w:type="dxa"/>
                  <w:tcBorders>
                    <w:top w:val="nil"/>
                    <w:left w:val="single" w:sz="4" w:space="0" w:color="C0C0C0"/>
                    <w:bottom w:val="single" w:sz="4" w:space="0" w:color="C0C0C0"/>
                    <w:right w:val="nil"/>
                  </w:tcBorders>
                  <w:shd w:val="clear" w:color="000000" w:fill="FFFFFF"/>
                  <w:vAlign w:val="center"/>
                  <w:hideMark/>
                </w:tcPr>
                <w:p w14:paraId="43D692CA"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t.sk. vienošanās procesā</w:t>
                  </w:r>
                </w:p>
              </w:tc>
              <w:tc>
                <w:tcPr>
                  <w:tcW w:w="1474" w:type="dxa"/>
                  <w:tcBorders>
                    <w:top w:val="nil"/>
                    <w:left w:val="single" w:sz="4" w:space="0" w:color="C0C0C0"/>
                    <w:bottom w:val="single" w:sz="4" w:space="0" w:color="C0C0C0"/>
                    <w:right w:val="nil"/>
                  </w:tcBorders>
                  <w:shd w:val="clear" w:color="000000" w:fill="FFFFFF"/>
                  <w:noWrap/>
                  <w:vAlign w:val="center"/>
                  <w:hideMark/>
                </w:tcPr>
                <w:p w14:paraId="19CA2ACC"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102</w:t>
                  </w:r>
                </w:p>
                <w:p w14:paraId="7BD89EA9"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53 (2019)</w:t>
                  </w:r>
                </w:p>
                <w:p w14:paraId="404BAF55"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49 (2020)</w:t>
                  </w:r>
                </w:p>
              </w:tc>
              <w:tc>
                <w:tcPr>
                  <w:tcW w:w="1367" w:type="dxa"/>
                  <w:tcBorders>
                    <w:top w:val="nil"/>
                    <w:left w:val="single" w:sz="4" w:space="0" w:color="C0C0C0"/>
                    <w:bottom w:val="single" w:sz="4" w:space="0" w:color="C0C0C0"/>
                    <w:right w:val="single" w:sz="4" w:space="0" w:color="C0C0C0"/>
                  </w:tcBorders>
                  <w:shd w:val="clear" w:color="000000" w:fill="FFFFFF"/>
                  <w:noWrap/>
                  <w:vAlign w:val="center"/>
                  <w:hideMark/>
                </w:tcPr>
                <w:p w14:paraId="3292261F"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98</w:t>
                  </w:r>
                </w:p>
                <w:p w14:paraId="2BCD4FBA"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58 (2019)</w:t>
                  </w:r>
                </w:p>
                <w:p w14:paraId="7E784B96" w14:textId="77777777" w:rsidR="00C9653E" w:rsidRPr="007334AD" w:rsidRDefault="00C9653E" w:rsidP="00C9653E">
                  <w:pPr>
                    <w:spacing w:after="0" w:line="240" w:lineRule="auto"/>
                    <w:jc w:val="both"/>
                    <w:rPr>
                      <w:rFonts w:ascii="Times New Roman" w:eastAsia="Times New Roman" w:hAnsi="Times New Roman" w:cs="Times New Roman"/>
                      <w:sz w:val="24"/>
                      <w:szCs w:val="24"/>
                      <w:lang w:eastAsia="lv-LV"/>
                    </w:rPr>
                  </w:pPr>
                  <w:r w:rsidRPr="007334AD">
                    <w:rPr>
                      <w:rFonts w:ascii="Times New Roman" w:eastAsia="Times New Roman" w:hAnsi="Times New Roman" w:cs="Times New Roman"/>
                      <w:sz w:val="24"/>
                      <w:szCs w:val="24"/>
                      <w:lang w:eastAsia="lv-LV"/>
                    </w:rPr>
                    <w:t>40 (2020)</w:t>
                  </w:r>
                </w:p>
              </w:tc>
            </w:tr>
          </w:tbl>
          <w:p w14:paraId="4D490434" w14:textId="77777777" w:rsidR="00C9653E" w:rsidRPr="007334AD" w:rsidRDefault="00C9653E" w:rsidP="00C9653E">
            <w:pPr>
              <w:spacing w:after="0" w:line="240" w:lineRule="auto"/>
              <w:jc w:val="both"/>
              <w:rPr>
                <w:rFonts w:ascii="Times New Roman" w:hAnsi="Times New Roman" w:cs="Times New Roman"/>
                <w:i/>
                <w:sz w:val="24"/>
                <w:szCs w:val="24"/>
              </w:rPr>
            </w:pPr>
            <w:r w:rsidRPr="007334AD">
              <w:rPr>
                <w:rFonts w:ascii="Times New Roman" w:hAnsi="Times New Roman" w:cs="Times New Roman"/>
                <w:i/>
                <w:sz w:val="24"/>
                <w:szCs w:val="24"/>
              </w:rPr>
              <w:t>Tabula Nr. 2 Latvijas Republikas Senāta Krimināllietu departamenta noslodze</w:t>
            </w:r>
          </w:p>
          <w:p w14:paraId="053328D8"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Lai noteiktu apgabaltiesās krimināllietas skatošo tiesnešu skaitu uz 2020.gada 30.septembri, 2020.gada 12.oktobrī apgabaltiesu priekšsēdētāju palīgiem tika lūgts sniegt attiecīgo informāciju. Tika saņemta šāda informācija: 1) Kurzemes apgabaltiesā krimināllietas skata 7 tiesneši; 2) Latgales apgabaltiesā krimināllietas skata 6 tiesneši; 3) Rīgas apgabaltiesā krimināllietas skata 22 tiesneši; 4) Vidzemes apgabaltiesā krimināllietas skata 5 tiesneši; 5) Zemgales apgabaltiesā krimināllietas skata 7 tiesneši.</w:t>
            </w:r>
          </w:p>
          <w:p w14:paraId="16B293CE"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Tātad kopš 2019.gada 1.janvāra līdz 2020.gada 30.septembrim Kurzemes apgabaltiesā katrs tiesnesis izskatīja vidēji 45 krimināllietas; Latgales apgabaltiesā vidēji 43 krimināllietas; Rīgas apgabaltiesā vidēji 60 krimināllietas; Vidzemes apgabaltiesā vidēji 47 krimināllietas un Zemgales apgabaltiesā vidēji 53 krimināllietas. </w:t>
            </w:r>
          </w:p>
          <w:p w14:paraId="5BDCF530"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Senāta Krimināllietu departamentā uz 2020.gada 30.septembri pienākumus pilda 9 senatori, kas minētajā laika posmā ir lielākais senatoru skaits. Tas nozīmē, ka kopš 2019.gada 1.janvāra līdz 2020.gada 30.septembrim katrs senators vidēji ir izskatījis 145 lietas, no kurām vidēji 11 ir lietas vienošanās procesā.</w:t>
            </w:r>
          </w:p>
          <w:p w14:paraId="46B72AD9"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Kā redzams no Tabulās Nr. 1 un Nr. 2 apkopotā izskatīto lietu skaita, kasācijas instances tiesas tiesneši, ievērojot tikai vienu daļu no viņu pienākumiem – tiesas spriešanu, ir izskatījuši vidēji par 80 līdz 100 krimināllietām vairāk nekā katras apgabaltiesas tiesneši. Tas nozīmē, ka krimināllietās kasācijas instances tiesas noslodze šobrīd ir būtiski lielāka. </w:t>
            </w:r>
          </w:p>
          <w:tbl>
            <w:tblPr>
              <w:tblStyle w:val="Reatabula"/>
              <w:tblpPr w:leftFromText="180" w:rightFromText="180" w:vertAnchor="text" w:horzAnchor="page" w:tblpX="1" w:tblpY="750"/>
              <w:tblOverlap w:val="never"/>
              <w:tblW w:w="5088" w:type="dxa"/>
              <w:tblLayout w:type="fixed"/>
              <w:tblLook w:val="04A0" w:firstRow="1" w:lastRow="0" w:firstColumn="1" w:lastColumn="0" w:noHBand="0" w:noVBand="1"/>
            </w:tblPr>
            <w:tblGrid>
              <w:gridCol w:w="1696"/>
              <w:gridCol w:w="1696"/>
              <w:gridCol w:w="1696"/>
            </w:tblGrid>
            <w:tr w:rsidR="00C9653E" w14:paraId="6A5E425E" w14:textId="77777777" w:rsidTr="00C9653E">
              <w:trPr>
                <w:trHeight w:val="252"/>
              </w:trPr>
              <w:tc>
                <w:tcPr>
                  <w:tcW w:w="1696" w:type="dxa"/>
                </w:tcPr>
                <w:p w14:paraId="7366C27E" w14:textId="77777777" w:rsidR="00C9653E" w:rsidRPr="00DF7102" w:rsidRDefault="00C9653E" w:rsidP="00C9653E">
                  <w:pPr>
                    <w:rPr>
                      <w:rFonts w:ascii="Times New Roman" w:hAnsi="Times New Roman" w:cs="Times New Roman"/>
                      <w:sz w:val="24"/>
                      <w:szCs w:val="24"/>
                      <w:lang w:val="lv-LV"/>
                    </w:rPr>
                  </w:pPr>
                  <w:r w:rsidRPr="00DF7102">
                    <w:rPr>
                      <w:rFonts w:ascii="Times New Roman" w:hAnsi="Times New Roman" w:cs="Times New Roman"/>
                      <w:sz w:val="24"/>
                      <w:szCs w:val="24"/>
                      <w:lang w:val="lv-LV"/>
                    </w:rPr>
                    <w:t>Gads</w:t>
                  </w:r>
                </w:p>
              </w:tc>
              <w:tc>
                <w:tcPr>
                  <w:tcW w:w="1696" w:type="dxa"/>
                </w:tcPr>
                <w:p w14:paraId="48405FF2"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Tiesu apgabals</w:t>
                  </w:r>
                </w:p>
              </w:tc>
              <w:tc>
                <w:tcPr>
                  <w:tcW w:w="1696" w:type="dxa"/>
                </w:tcPr>
                <w:p w14:paraId="68ADB0A3"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Pārsūdzēto lietu skaits</w:t>
                  </w:r>
                </w:p>
              </w:tc>
            </w:tr>
            <w:tr w:rsidR="00C9653E" w14:paraId="0104EBDA" w14:textId="77777777" w:rsidTr="00C9653E">
              <w:trPr>
                <w:trHeight w:val="252"/>
              </w:trPr>
              <w:tc>
                <w:tcPr>
                  <w:tcW w:w="1696" w:type="dxa"/>
                  <w:vMerge w:val="restart"/>
                </w:tcPr>
                <w:p w14:paraId="3D24F23B" w14:textId="77777777" w:rsidR="00C9653E" w:rsidRPr="00DF7102" w:rsidRDefault="00C9653E" w:rsidP="00C9653E">
                  <w:pPr>
                    <w:rPr>
                      <w:rFonts w:ascii="Times New Roman" w:hAnsi="Times New Roman" w:cs="Times New Roman"/>
                      <w:sz w:val="24"/>
                      <w:szCs w:val="24"/>
                      <w:lang w:val="lv-LV"/>
                    </w:rPr>
                  </w:pPr>
                  <w:r w:rsidRPr="00DF7102">
                    <w:rPr>
                      <w:rFonts w:ascii="Times New Roman" w:hAnsi="Times New Roman" w:cs="Times New Roman"/>
                      <w:sz w:val="24"/>
                      <w:szCs w:val="24"/>
                      <w:lang w:val="lv-LV"/>
                    </w:rPr>
                    <w:t>2019.gads</w:t>
                  </w:r>
                </w:p>
              </w:tc>
              <w:tc>
                <w:tcPr>
                  <w:tcW w:w="1696" w:type="dxa"/>
                </w:tcPr>
                <w:p w14:paraId="4D6D925B"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Rīgas tiesu apgabals</w:t>
                  </w:r>
                </w:p>
              </w:tc>
              <w:tc>
                <w:tcPr>
                  <w:tcW w:w="1696" w:type="dxa"/>
                </w:tcPr>
                <w:p w14:paraId="7F948D7D"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28</w:t>
                  </w:r>
                </w:p>
              </w:tc>
            </w:tr>
            <w:tr w:rsidR="00C9653E" w14:paraId="0EBA9C5F" w14:textId="77777777" w:rsidTr="00C9653E">
              <w:trPr>
                <w:trHeight w:val="252"/>
              </w:trPr>
              <w:tc>
                <w:tcPr>
                  <w:tcW w:w="1696" w:type="dxa"/>
                  <w:vMerge/>
                </w:tcPr>
                <w:p w14:paraId="34D8ABFD" w14:textId="77777777" w:rsidR="00C9653E" w:rsidRPr="00DF7102" w:rsidRDefault="00C9653E" w:rsidP="00C9653E">
                  <w:pPr>
                    <w:rPr>
                      <w:rFonts w:ascii="Times New Roman" w:hAnsi="Times New Roman" w:cs="Times New Roman"/>
                      <w:sz w:val="24"/>
                      <w:szCs w:val="24"/>
                      <w:lang w:val="lv-LV"/>
                    </w:rPr>
                  </w:pPr>
                </w:p>
              </w:tc>
              <w:tc>
                <w:tcPr>
                  <w:tcW w:w="1696" w:type="dxa"/>
                </w:tcPr>
                <w:p w14:paraId="774ADFAD"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Kurzemes tiesu apgabals</w:t>
                  </w:r>
                </w:p>
              </w:tc>
              <w:tc>
                <w:tcPr>
                  <w:tcW w:w="1696" w:type="dxa"/>
                </w:tcPr>
                <w:p w14:paraId="0E73E23B"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0</w:t>
                  </w:r>
                </w:p>
              </w:tc>
            </w:tr>
            <w:tr w:rsidR="00C9653E" w14:paraId="350EC7DB" w14:textId="77777777" w:rsidTr="00C9653E">
              <w:trPr>
                <w:trHeight w:val="263"/>
              </w:trPr>
              <w:tc>
                <w:tcPr>
                  <w:tcW w:w="1696" w:type="dxa"/>
                  <w:vMerge/>
                </w:tcPr>
                <w:p w14:paraId="280D9F10" w14:textId="77777777" w:rsidR="00C9653E" w:rsidRPr="00DF7102" w:rsidRDefault="00C9653E" w:rsidP="00C9653E">
                  <w:pPr>
                    <w:rPr>
                      <w:rFonts w:ascii="Times New Roman" w:hAnsi="Times New Roman" w:cs="Times New Roman"/>
                      <w:sz w:val="24"/>
                      <w:szCs w:val="24"/>
                      <w:lang w:val="lv-LV"/>
                    </w:rPr>
                  </w:pPr>
                </w:p>
              </w:tc>
              <w:tc>
                <w:tcPr>
                  <w:tcW w:w="1696" w:type="dxa"/>
                </w:tcPr>
                <w:p w14:paraId="2D9BE548"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Vidzemes tiesu apgabals</w:t>
                  </w:r>
                </w:p>
              </w:tc>
              <w:tc>
                <w:tcPr>
                  <w:tcW w:w="1696" w:type="dxa"/>
                </w:tcPr>
                <w:p w14:paraId="50B7C509"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3</w:t>
                  </w:r>
                </w:p>
              </w:tc>
            </w:tr>
            <w:tr w:rsidR="00C9653E" w14:paraId="5F33BE01" w14:textId="77777777" w:rsidTr="00C9653E">
              <w:trPr>
                <w:trHeight w:val="263"/>
              </w:trPr>
              <w:tc>
                <w:tcPr>
                  <w:tcW w:w="1696" w:type="dxa"/>
                  <w:vMerge/>
                </w:tcPr>
                <w:p w14:paraId="1315F161" w14:textId="77777777" w:rsidR="00C9653E" w:rsidRPr="00DF7102" w:rsidRDefault="00C9653E" w:rsidP="00C9653E">
                  <w:pPr>
                    <w:rPr>
                      <w:rFonts w:ascii="Times New Roman" w:hAnsi="Times New Roman" w:cs="Times New Roman"/>
                      <w:sz w:val="24"/>
                      <w:szCs w:val="24"/>
                      <w:lang w:val="lv-LV"/>
                    </w:rPr>
                  </w:pPr>
                </w:p>
              </w:tc>
              <w:tc>
                <w:tcPr>
                  <w:tcW w:w="1696" w:type="dxa"/>
                </w:tcPr>
                <w:p w14:paraId="4BD9E164"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Latgales tiesu apgabals</w:t>
                  </w:r>
                </w:p>
              </w:tc>
              <w:tc>
                <w:tcPr>
                  <w:tcW w:w="1696" w:type="dxa"/>
                </w:tcPr>
                <w:p w14:paraId="00A89A4A"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1</w:t>
                  </w:r>
                </w:p>
              </w:tc>
            </w:tr>
            <w:tr w:rsidR="00C9653E" w14:paraId="7DC1E531" w14:textId="77777777" w:rsidTr="00C9653E">
              <w:trPr>
                <w:trHeight w:val="263"/>
              </w:trPr>
              <w:tc>
                <w:tcPr>
                  <w:tcW w:w="1696" w:type="dxa"/>
                  <w:vMerge/>
                  <w:tcBorders>
                    <w:bottom w:val="single" w:sz="12" w:space="0" w:color="auto"/>
                  </w:tcBorders>
                </w:tcPr>
                <w:p w14:paraId="5F0D2440" w14:textId="77777777" w:rsidR="00C9653E" w:rsidRPr="00DF7102" w:rsidRDefault="00C9653E" w:rsidP="00C9653E">
                  <w:pPr>
                    <w:rPr>
                      <w:rFonts w:ascii="Times New Roman" w:hAnsi="Times New Roman" w:cs="Times New Roman"/>
                      <w:sz w:val="24"/>
                      <w:szCs w:val="24"/>
                      <w:lang w:val="lv-LV"/>
                    </w:rPr>
                  </w:pPr>
                </w:p>
              </w:tc>
              <w:tc>
                <w:tcPr>
                  <w:tcW w:w="1696" w:type="dxa"/>
                  <w:tcBorders>
                    <w:bottom w:val="single" w:sz="12" w:space="0" w:color="auto"/>
                  </w:tcBorders>
                </w:tcPr>
                <w:p w14:paraId="1634822B"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Zemgales tiesu apgabals</w:t>
                  </w:r>
                </w:p>
              </w:tc>
              <w:tc>
                <w:tcPr>
                  <w:tcW w:w="1696" w:type="dxa"/>
                  <w:tcBorders>
                    <w:bottom w:val="single" w:sz="12" w:space="0" w:color="auto"/>
                  </w:tcBorders>
                </w:tcPr>
                <w:p w14:paraId="77727A11"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0</w:t>
                  </w:r>
                </w:p>
              </w:tc>
            </w:tr>
            <w:tr w:rsidR="00C9653E" w14:paraId="30BF7BC4" w14:textId="77777777" w:rsidTr="00C9653E">
              <w:trPr>
                <w:trHeight w:val="241"/>
              </w:trPr>
              <w:tc>
                <w:tcPr>
                  <w:tcW w:w="1696" w:type="dxa"/>
                  <w:vMerge w:val="restart"/>
                  <w:tcBorders>
                    <w:top w:val="single" w:sz="12" w:space="0" w:color="auto"/>
                  </w:tcBorders>
                </w:tcPr>
                <w:p w14:paraId="1282954B" w14:textId="77777777" w:rsidR="00C9653E" w:rsidRPr="00DF7102" w:rsidRDefault="00C9653E" w:rsidP="00C9653E">
                  <w:pPr>
                    <w:rPr>
                      <w:rFonts w:ascii="Times New Roman" w:hAnsi="Times New Roman" w:cs="Times New Roman"/>
                      <w:sz w:val="24"/>
                      <w:szCs w:val="24"/>
                      <w:lang w:val="lv-LV"/>
                    </w:rPr>
                  </w:pPr>
                  <w:r w:rsidRPr="00DF7102">
                    <w:rPr>
                      <w:rFonts w:ascii="Times New Roman" w:hAnsi="Times New Roman" w:cs="Times New Roman"/>
                      <w:sz w:val="24"/>
                      <w:szCs w:val="24"/>
                      <w:lang w:val="lv-LV"/>
                    </w:rPr>
                    <w:t>2020.gads</w:t>
                  </w:r>
                </w:p>
              </w:tc>
              <w:tc>
                <w:tcPr>
                  <w:tcW w:w="1696" w:type="dxa"/>
                  <w:tcBorders>
                    <w:top w:val="single" w:sz="12" w:space="0" w:color="auto"/>
                  </w:tcBorders>
                </w:tcPr>
                <w:p w14:paraId="36A627E7"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Rīgas tiesu apgabals</w:t>
                  </w:r>
                </w:p>
              </w:tc>
              <w:tc>
                <w:tcPr>
                  <w:tcW w:w="1696" w:type="dxa"/>
                  <w:tcBorders>
                    <w:top w:val="single" w:sz="12" w:space="0" w:color="auto"/>
                  </w:tcBorders>
                </w:tcPr>
                <w:p w14:paraId="1F55919A"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32</w:t>
                  </w:r>
                </w:p>
              </w:tc>
            </w:tr>
            <w:tr w:rsidR="00C9653E" w14:paraId="618C4108" w14:textId="77777777" w:rsidTr="00C9653E">
              <w:trPr>
                <w:trHeight w:val="263"/>
              </w:trPr>
              <w:tc>
                <w:tcPr>
                  <w:tcW w:w="1696" w:type="dxa"/>
                  <w:vMerge/>
                </w:tcPr>
                <w:p w14:paraId="3CFBD83C" w14:textId="77777777" w:rsidR="00C9653E" w:rsidRPr="00DF7102" w:rsidRDefault="00C9653E" w:rsidP="00C9653E">
                  <w:pPr>
                    <w:rPr>
                      <w:rFonts w:ascii="Times New Roman" w:hAnsi="Times New Roman" w:cs="Times New Roman"/>
                      <w:sz w:val="24"/>
                      <w:szCs w:val="24"/>
                      <w:lang w:val="lv-LV"/>
                    </w:rPr>
                  </w:pPr>
                </w:p>
              </w:tc>
              <w:tc>
                <w:tcPr>
                  <w:tcW w:w="1696" w:type="dxa"/>
                </w:tcPr>
                <w:p w14:paraId="24A33AF5"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Kurzemes tiesu apgabals</w:t>
                  </w:r>
                </w:p>
              </w:tc>
              <w:tc>
                <w:tcPr>
                  <w:tcW w:w="1696" w:type="dxa"/>
                </w:tcPr>
                <w:p w14:paraId="25199595"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1</w:t>
                  </w:r>
                </w:p>
              </w:tc>
            </w:tr>
            <w:tr w:rsidR="00C9653E" w14:paraId="01CA148A" w14:textId="77777777" w:rsidTr="00C9653E">
              <w:trPr>
                <w:trHeight w:val="263"/>
              </w:trPr>
              <w:tc>
                <w:tcPr>
                  <w:tcW w:w="1696" w:type="dxa"/>
                  <w:vMerge/>
                </w:tcPr>
                <w:p w14:paraId="5CA7A9D2" w14:textId="77777777" w:rsidR="00C9653E" w:rsidRPr="00DF7102" w:rsidRDefault="00C9653E" w:rsidP="00C9653E">
                  <w:pPr>
                    <w:rPr>
                      <w:rFonts w:ascii="Times New Roman" w:hAnsi="Times New Roman" w:cs="Times New Roman"/>
                      <w:sz w:val="24"/>
                      <w:szCs w:val="24"/>
                      <w:lang w:val="lv-LV"/>
                    </w:rPr>
                  </w:pPr>
                </w:p>
              </w:tc>
              <w:tc>
                <w:tcPr>
                  <w:tcW w:w="1696" w:type="dxa"/>
                </w:tcPr>
                <w:p w14:paraId="272AB5EE"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Vidzemes tiesu apgabals</w:t>
                  </w:r>
                </w:p>
              </w:tc>
              <w:tc>
                <w:tcPr>
                  <w:tcW w:w="1696" w:type="dxa"/>
                </w:tcPr>
                <w:p w14:paraId="2C9240BB"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4</w:t>
                  </w:r>
                </w:p>
              </w:tc>
            </w:tr>
            <w:tr w:rsidR="00C9653E" w14:paraId="7615305E" w14:textId="77777777" w:rsidTr="00C9653E">
              <w:trPr>
                <w:trHeight w:val="263"/>
              </w:trPr>
              <w:tc>
                <w:tcPr>
                  <w:tcW w:w="1696" w:type="dxa"/>
                  <w:vMerge/>
                </w:tcPr>
                <w:p w14:paraId="40829400" w14:textId="77777777" w:rsidR="00C9653E" w:rsidRPr="00DF7102" w:rsidRDefault="00C9653E" w:rsidP="00C9653E">
                  <w:pPr>
                    <w:rPr>
                      <w:rFonts w:ascii="Times New Roman" w:hAnsi="Times New Roman" w:cs="Times New Roman"/>
                      <w:sz w:val="24"/>
                      <w:szCs w:val="24"/>
                      <w:lang w:val="lv-LV"/>
                    </w:rPr>
                  </w:pPr>
                </w:p>
              </w:tc>
              <w:tc>
                <w:tcPr>
                  <w:tcW w:w="1696" w:type="dxa"/>
                </w:tcPr>
                <w:p w14:paraId="6C74A1BC"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Latgales tiesu apgabals</w:t>
                  </w:r>
                </w:p>
              </w:tc>
              <w:tc>
                <w:tcPr>
                  <w:tcW w:w="1696" w:type="dxa"/>
                </w:tcPr>
                <w:p w14:paraId="516DA30E"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3</w:t>
                  </w:r>
                </w:p>
              </w:tc>
            </w:tr>
            <w:tr w:rsidR="00C9653E" w14:paraId="31A23DEC" w14:textId="77777777" w:rsidTr="00C9653E">
              <w:trPr>
                <w:trHeight w:val="263"/>
              </w:trPr>
              <w:tc>
                <w:tcPr>
                  <w:tcW w:w="1696" w:type="dxa"/>
                  <w:vMerge/>
                </w:tcPr>
                <w:p w14:paraId="25ED6FA6" w14:textId="77777777" w:rsidR="00C9653E" w:rsidRPr="00DF7102" w:rsidRDefault="00C9653E" w:rsidP="00C9653E">
                  <w:pPr>
                    <w:rPr>
                      <w:rFonts w:ascii="Times New Roman" w:hAnsi="Times New Roman" w:cs="Times New Roman"/>
                      <w:sz w:val="24"/>
                      <w:szCs w:val="24"/>
                      <w:lang w:val="lv-LV"/>
                    </w:rPr>
                  </w:pPr>
                </w:p>
              </w:tc>
              <w:tc>
                <w:tcPr>
                  <w:tcW w:w="1696" w:type="dxa"/>
                </w:tcPr>
                <w:p w14:paraId="20E1038E"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Zemgales tiesu apgabals</w:t>
                  </w:r>
                </w:p>
              </w:tc>
              <w:tc>
                <w:tcPr>
                  <w:tcW w:w="1696" w:type="dxa"/>
                </w:tcPr>
                <w:p w14:paraId="735226AA" w14:textId="77777777" w:rsidR="00C9653E" w:rsidRPr="005607FC" w:rsidRDefault="00C9653E" w:rsidP="00C9653E">
                  <w:pPr>
                    <w:rPr>
                      <w:rFonts w:ascii="Times New Roman" w:hAnsi="Times New Roman" w:cs="Times New Roman"/>
                      <w:sz w:val="24"/>
                      <w:szCs w:val="24"/>
                      <w:lang w:val="lv-LV"/>
                    </w:rPr>
                  </w:pPr>
                  <w:r w:rsidRPr="005607FC">
                    <w:rPr>
                      <w:rFonts w:ascii="Times New Roman" w:hAnsi="Times New Roman" w:cs="Times New Roman"/>
                      <w:sz w:val="24"/>
                      <w:szCs w:val="24"/>
                      <w:lang w:val="lv-LV"/>
                    </w:rPr>
                    <w:t>4</w:t>
                  </w:r>
                </w:p>
              </w:tc>
            </w:tr>
          </w:tbl>
          <w:p w14:paraId="7BF39CB2" w14:textId="77777777" w:rsidR="00C9653E" w:rsidRDefault="00C9653E" w:rsidP="00C9653E">
            <w:pPr>
              <w:jc w:val="both"/>
              <w:rPr>
                <w:rFonts w:ascii="Times New Roman" w:hAnsi="Times New Roman" w:cs="Times New Roman"/>
                <w:color w:val="201F1E"/>
                <w:sz w:val="24"/>
                <w:szCs w:val="24"/>
                <w:shd w:val="clear" w:color="auto" w:fill="FFFFFF"/>
              </w:rPr>
            </w:pPr>
            <w:r>
              <w:rPr>
                <w:rFonts w:ascii="Times New Roman" w:hAnsi="Times New Roman" w:cs="Times New Roman"/>
                <w:sz w:val="24"/>
                <w:szCs w:val="24"/>
              </w:rPr>
              <w:t>Tieslietu ministrija apkopoja Tiesu administrācijas datus par 2019., 2020. gadu</w:t>
            </w:r>
            <w:r>
              <w:rPr>
                <w:rFonts w:ascii="Times New Roman" w:hAnsi="Times New Roman" w:cs="Times New Roman"/>
                <w:color w:val="201F1E"/>
                <w:sz w:val="24"/>
                <w:szCs w:val="24"/>
                <w:shd w:val="clear" w:color="auto" w:fill="FFFFFF"/>
              </w:rPr>
              <w:t>, lai prognozētu iespējamo tiesu noslodzi</w:t>
            </w:r>
            <w:r w:rsidRPr="009F77C9">
              <w:rPr>
                <w:rFonts w:ascii="Times New Roman" w:hAnsi="Times New Roman" w:cs="Times New Roman"/>
                <w:color w:val="201F1E"/>
                <w:sz w:val="24"/>
                <w:szCs w:val="24"/>
                <w:shd w:val="clear" w:color="auto" w:fill="FFFFFF"/>
              </w:rPr>
              <w:t>:</w:t>
            </w:r>
          </w:p>
          <w:p w14:paraId="1E7E34C8" w14:textId="77777777" w:rsidR="00C9653E" w:rsidRDefault="00C9653E" w:rsidP="00C9653E">
            <w:pPr>
              <w:spacing w:after="0" w:line="240" w:lineRule="auto"/>
              <w:jc w:val="both"/>
              <w:rPr>
                <w:rFonts w:ascii="Times New Roman" w:hAnsi="Times New Roman" w:cs="Times New Roman"/>
                <w:i/>
                <w:color w:val="201F1E"/>
                <w:sz w:val="24"/>
                <w:szCs w:val="24"/>
                <w:shd w:val="clear" w:color="auto" w:fill="FFFFFF"/>
              </w:rPr>
            </w:pPr>
            <w:r w:rsidRPr="00651D61">
              <w:rPr>
                <w:rFonts w:ascii="Times New Roman" w:hAnsi="Times New Roman" w:cs="Times New Roman"/>
                <w:i/>
                <w:sz w:val="24"/>
                <w:szCs w:val="24"/>
              </w:rPr>
              <w:t xml:space="preserve">Tabula Nr. 3 </w:t>
            </w:r>
            <w:r w:rsidRPr="00651D61">
              <w:rPr>
                <w:rFonts w:ascii="Times New Roman" w:hAnsi="Times New Roman" w:cs="Times New Roman"/>
                <w:i/>
                <w:color w:val="201F1E"/>
                <w:sz w:val="24"/>
                <w:szCs w:val="24"/>
                <w:shd w:val="clear" w:color="auto" w:fill="FFFFFF"/>
              </w:rPr>
              <w:t xml:space="preserve">Augstākās tiesas Krimināltiesību departamentā saņemtās krimināllietas, kas zemākas instances tiesās ir </w:t>
            </w:r>
            <w:r>
              <w:rPr>
                <w:rFonts w:ascii="Times New Roman" w:hAnsi="Times New Roman" w:cs="Times New Roman"/>
                <w:i/>
                <w:color w:val="201F1E"/>
                <w:sz w:val="24"/>
                <w:szCs w:val="24"/>
                <w:shd w:val="clear" w:color="auto" w:fill="FFFFFF"/>
              </w:rPr>
              <w:t>iz</w:t>
            </w:r>
            <w:r w:rsidRPr="00651D61">
              <w:rPr>
                <w:rFonts w:ascii="Times New Roman" w:hAnsi="Times New Roman" w:cs="Times New Roman"/>
                <w:i/>
                <w:color w:val="201F1E"/>
                <w:sz w:val="24"/>
                <w:szCs w:val="24"/>
                <w:shd w:val="clear" w:color="auto" w:fill="FFFFFF"/>
              </w:rPr>
              <w:t>skatītas vienošanās kārtībā (pēc tiesu apgabaliem)</w:t>
            </w:r>
          </w:p>
          <w:p w14:paraId="6ABBA63C" w14:textId="77777777" w:rsidR="00C9653E" w:rsidRPr="00651D61" w:rsidRDefault="00C9653E" w:rsidP="00C9653E">
            <w:pPr>
              <w:spacing w:after="0" w:line="240" w:lineRule="auto"/>
              <w:jc w:val="both"/>
              <w:rPr>
                <w:rFonts w:ascii="Times New Roman" w:hAnsi="Times New Roman" w:cs="Times New Roman"/>
                <w:i/>
                <w:color w:val="201F1E"/>
                <w:sz w:val="24"/>
                <w:szCs w:val="24"/>
                <w:shd w:val="clear" w:color="auto" w:fill="FFFFFF"/>
              </w:rPr>
            </w:pPr>
          </w:p>
          <w:p w14:paraId="3BE533DF" w14:textId="77777777" w:rsidR="00C9653E" w:rsidRPr="007334AD" w:rsidRDefault="00C9653E" w:rsidP="00C96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Kā redzams Tabulā Nr. 3, n</w:t>
            </w:r>
            <w:r w:rsidRPr="007334AD">
              <w:rPr>
                <w:rFonts w:ascii="Times New Roman" w:hAnsi="Times New Roman" w:cs="Times New Roman"/>
                <w:sz w:val="24"/>
                <w:szCs w:val="24"/>
              </w:rPr>
              <w:t>osakot par vienošanās procesā pirmās instances tiesas pieņemtiem nolēmumiem iesniegto sūdzību vai protestu izskatīšanu apelācijas instances tiesas kompetencē, tās noslodze palielinātos nebūtiski</w:t>
            </w:r>
            <w:r>
              <w:rPr>
                <w:rFonts w:ascii="Times New Roman" w:hAnsi="Times New Roman" w:cs="Times New Roman"/>
                <w:sz w:val="24"/>
                <w:szCs w:val="24"/>
              </w:rPr>
              <w:t>, tikai Rīgas apgabaltiesā ir iespējama slodzes palielināšanās</w:t>
            </w:r>
            <w:r w:rsidRPr="007334AD">
              <w:rPr>
                <w:rFonts w:ascii="Times New Roman" w:hAnsi="Times New Roman" w:cs="Times New Roman"/>
                <w:sz w:val="24"/>
                <w:szCs w:val="24"/>
              </w:rPr>
              <w:t>. Turklāt šādā veidā tiktu arī nodrošināta ātrāka šīs kategorijas lietu izskatīšana.</w:t>
            </w:r>
          </w:p>
          <w:p w14:paraId="6303D750" w14:textId="77777777" w:rsidR="00C9653E" w:rsidRPr="007334AD" w:rsidRDefault="00C9653E" w:rsidP="00C9653E">
            <w:pPr>
              <w:pStyle w:val="Sarakstarindkopa"/>
              <w:spacing w:after="0" w:line="240" w:lineRule="auto"/>
              <w:ind w:left="0"/>
              <w:contextualSpacing w:val="0"/>
              <w:jc w:val="both"/>
              <w:rPr>
                <w:rFonts w:ascii="Times New Roman" w:hAnsi="Times New Roman" w:cs="Times New Roman"/>
                <w:b/>
                <w:bCs/>
                <w:i/>
                <w:iCs/>
                <w:sz w:val="24"/>
                <w:szCs w:val="24"/>
              </w:rPr>
            </w:pPr>
            <w:r w:rsidRPr="007334AD">
              <w:rPr>
                <w:rFonts w:ascii="Times New Roman" w:hAnsi="Times New Roman" w:cs="Times New Roman"/>
                <w:b/>
                <w:bCs/>
                <w:i/>
                <w:iCs/>
                <w:sz w:val="24"/>
                <w:szCs w:val="24"/>
              </w:rPr>
              <w:t>Tiesu hierarhija.</w:t>
            </w:r>
          </w:p>
          <w:p w14:paraId="25680815"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Kā jau tika uzsvērts iepriekš, vienošanās procesā pieņemta pirmās instances tiesas nolēmuma tiesiskuma kontrole tikai kasācijas instancē neatbilst KPL noteiktajai tiesu institucionālajai sistēmai un struktūrai. Senāta Krimināllietu departaments, skatot sūdzības vai protestus par pirmās instances tiesas pieņemtiem nolēmumiem vienošanās procesā, pēc būtības darbojas nevis kā kasācijas instance, bet gan kā apelācijas instance. </w:t>
            </w:r>
          </w:p>
          <w:p w14:paraId="230AD650"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Šādā veidā kasācijas instances tiesai tiek uzdota tādu jautājumu izskatīšanā, kas neatbilst Senāta Krimināllietu departamenta primārajām funkcijām. Turklāt šāda vienošanās procesā pieņemta nolēmuma pārsūdzības kārtība neatbilst arī laikmeta garam, būtiski kavē Senāta Krimināllietu departamenta primāro funkciju efektīvu izpildi un tā darba efektivitāti kopumā.</w:t>
            </w:r>
          </w:p>
          <w:p w14:paraId="71CC75E1" w14:textId="77777777" w:rsidR="00C9653E" w:rsidRPr="007334AD" w:rsidRDefault="00C9653E" w:rsidP="00C9653E">
            <w:pPr>
              <w:spacing w:after="0" w:line="240" w:lineRule="auto"/>
              <w:jc w:val="both"/>
              <w:rPr>
                <w:rFonts w:ascii="Times New Roman" w:hAnsi="Times New Roman" w:cs="Times New Roman"/>
                <w:b/>
                <w:bCs/>
                <w:i/>
                <w:iCs/>
                <w:sz w:val="24"/>
                <w:szCs w:val="24"/>
              </w:rPr>
            </w:pPr>
            <w:r w:rsidRPr="007334AD">
              <w:rPr>
                <w:rFonts w:ascii="Times New Roman" w:hAnsi="Times New Roman" w:cs="Times New Roman"/>
                <w:b/>
                <w:bCs/>
                <w:i/>
                <w:iCs/>
                <w:sz w:val="24"/>
                <w:szCs w:val="24"/>
              </w:rPr>
              <w:t>Apelācijas instances tiesas kompetence izskatīt tiesību jautājumus.</w:t>
            </w:r>
          </w:p>
          <w:p w14:paraId="4BD32921"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Atbilstoši KPL 10.sadaļai un 549.pantam apelācijas kā hierarhiski nākamās tiesu instances kompetencē ietilpst arī sūdzībā vai protestā norādītu juridisku iemeslu izvērtēšana. </w:t>
            </w:r>
            <w:r w:rsidRPr="007334AD">
              <w:rPr>
                <w:rFonts w:ascii="Times New Roman" w:hAnsi="Times New Roman" w:cs="Times New Roman"/>
                <w:sz w:val="24"/>
                <w:szCs w:val="24"/>
              </w:rPr>
              <w:lastRenderedPageBreak/>
              <w:t xml:space="preserve">No KPL 52. un 53.nodaļā ietvertā regulējuma, piemēram, KPL 559.panta ceturtās daļas, 562.panta trešās un ceturtās daļas un 565.panta satura sistēmiski redzams, ka arī viens no apelācijas instances tiesas kompetencē ietilpstošajiem jautājumiem ir personai noteiktā soda tiesiskuma (un attiecīgi samērīguma) </w:t>
            </w:r>
            <w:proofErr w:type="spellStart"/>
            <w:r w:rsidRPr="007334AD">
              <w:rPr>
                <w:rFonts w:ascii="Times New Roman" w:hAnsi="Times New Roman" w:cs="Times New Roman"/>
                <w:sz w:val="24"/>
                <w:szCs w:val="24"/>
              </w:rPr>
              <w:t>izvērtējums</w:t>
            </w:r>
            <w:proofErr w:type="spellEnd"/>
            <w:r w:rsidRPr="007334AD">
              <w:rPr>
                <w:rFonts w:ascii="Times New Roman" w:hAnsi="Times New Roman" w:cs="Times New Roman"/>
                <w:sz w:val="24"/>
                <w:szCs w:val="24"/>
              </w:rPr>
              <w:t>. Tas nozīmē, ka apelācijas instances tiesai nav šķēršļu izskatīt arī vienošanās procesā iesniegtas sūdzības vai protestus par pirmās instances tiesas nolēmumu tiesiskumu. Citiem vārdiem sakot, ja sūdzības vai protestus par vienošanās procesā pirmās instances tiesas pieņemtiem nolēmumiem kriminālprocesā iesniegtu apelācijas instances tiesai, tā pilnībā spētu nodrošināt šo lietu taisnīgu un objektīvu izspriešanu</w:t>
            </w:r>
            <w:r w:rsidRPr="007334AD">
              <w:rPr>
                <w:rStyle w:val="Vresatsauce"/>
              </w:rPr>
              <w:footnoteReference w:id="55"/>
            </w:r>
            <w:r w:rsidRPr="007334AD">
              <w:rPr>
                <w:rFonts w:ascii="Times New Roman" w:hAnsi="Times New Roman" w:cs="Times New Roman"/>
                <w:sz w:val="24"/>
                <w:szCs w:val="24"/>
              </w:rPr>
              <w:t>. Proti, tā spētu nodrošināt taisnīguma un tiesiskuma principiem atbilstošu tiesisku rezultātu</w:t>
            </w:r>
            <w:r w:rsidRPr="007334AD">
              <w:rPr>
                <w:rStyle w:val="Vresatsauce"/>
              </w:rPr>
              <w:footnoteReference w:id="56"/>
            </w:r>
            <w:r w:rsidRPr="007334AD">
              <w:rPr>
                <w:rFonts w:ascii="Times New Roman" w:hAnsi="Times New Roman" w:cs="Times New Roman"/>
                <w:sz w:val="24"/>
                <w:szCs w:val="24"/>
              </w:rPr>
              <w:t xml:space="preserve"> un kopumā efektīvi garantētu personu tiesības uz nolēmuma pārsūdzību.</w:t>
            </w:r>
          </w:p>
          <w:p w14:paraId="7EDDC282" w14:textId="77777777" w:rsidR="00C9653E" w:rsidRPr="007334AD" w:rsidRDefault="00C9653E" w:rsidP="00C9653E">
            <w:pPr>
              <w:pStyle w:val="Sarakstarindkopa"/>
              <w:spacing w:after="0" w:line="240" w:lineRule="auto"/>
              <w:ind w:left="0"/>
              <w:contextualSpacing w:val="0"/>
              <w:jc w:val="both"/>
              <w:rPr>
                <w:rFonts w:ascii="Times New Roman" w:hAnsi="Times New Roman" w:cs="Times New Roman"/>
                <w:b/>
                <w:bCs/>
                <w:i/>
                <w:iCs/>
                <w:sz w:val="24"/>
                <w:szCs w:val="24"/>
              </w:rPr>
            </w:pPr>
            <w:r w:rsidRPr="007334AD">
              <w:rPr>
                <w:rFonts w:ascii="Times New Roman" w:hAnsi="Times New Roman" w:cs="Times New Roman"/>
                <w:b/>
                <w:bCs/>
                <w:i/>
                <w:iCs/>
                <w:sz w:val="24"/>
                <w:szCs w:val="24"/>
              </w:rPr>
              <w:t>Augstākās tiesas darbības efektivitātes nodrošināšana.</w:t>
            </w:r>
          </w:p>
          <w:p w14:paraId="1C7BE82B"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Atsevišķu nolēmumu pārsūdzēšanas iespēju ierobežošana ir nepieciešama, lai nodrošinātu tiesas procesa efektivitāti, procesuālo ekonomiju, lietas izskatīšanu saprātīgā termiņā, atturētu personu no nepamatotas tiesvedības procesa tālāko stadiju ierosināšanas, kā arī mazinātu tiesu noslogotību.</w:t>
            </w:r>
            <w:r w:rsidRPr="007334AD">
              <w:rPr>
                <w:rStyle w:val="Vresatsauce"/>
              </w:rPr>
              <w:footnoteReference w:id="57"/>
            </w:r>
            <w:r w:rsidRPr="007334AD">
              <w:rPr>
                <w:rFonts w:ascii="Times New Roman" w:hAnsi="Times New Roman" w:cs="Times New Roman"/>
                <w:sz w:val="24"/>
                <w:szCs w:val="24"/>
              </w:rPr>
              <w:t xml:space="preserve"> Proti, Satversmes tiesa par leģitīmu mērķi pārsūdzēšanas iespēju ierobežošanai atzīst strīdu ātrāku un efektīvāku izskatīšanas nodrošināšanu, mazinot tiesu noslogotību. </w:t>
            </w:r>
          </w:p>
          <w:p w14:paraId="588685AC"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Satversmes tiesa ir uzsvērusi, ka, piemēram, atslogojot Senātu no nepamatotu sūdzību izskatīšanas, tiek nodrošināta Senāta darbības efektivitāte, tas ir, iespēja novirzīt ierobežotos resursus to lietu izskatīšanai, kurās konstatējami procesuālo vai materiālo normu piemērošanas pārkāpumi un kurām ir nozīme judikatūras </w:t>
            </w:r>
            <w:proofErr w:type="spellStart"/>
            <w:r w:rsidRPr="007334AD">
              <w:rPr>
                <w:rFonts w:ascii="Times New Roman" w:hAnsi="Times New Roman" w:cs="Times New Roman"/>
                <w:sz w:val="24"/>
                <w:szCs w:val="24"/>
              </w:rPr>
              <w:t>tālākveidošanā</w:t>
            </w:r>
            <w:proofErr w:type="spellEnd"/>
            <w:r w:rsidRPr="007334AD">
              <w:rPr>
                <w:rFonts w:ascii="Times New Roman" w:hAnsi="Times New Roman" w:cs="Times New Roman"/>
                <w:sz w:val="24"/>
                <w:szCs w:val="24"/>
              </w:rPr>
              <w:t>.</w:t>
            </w:r>
            <w:r w:rsidRPr="007334AD">
              <w:rPr>
                <w:rStyle w:val="Vresatsauce"/>
              </w:rPr>
              <w:footnoteReference w:id="58"/>
            </w:r>
            <w:r w:rsidRPr="007334AD">
              <w:rPr>
                <w:rFonts w:ascii="Times New Roman" w:hAnsi="Times New Roman" w:cs="Times New Roman"/>
                <w:sz w:val="24"/>
                <w:szCs w:val="24"/>
              </w:rPr>
              <w:t xml:space="preserve"> Konkrētajā gadījumā priekšlikumu mērķis ir nevis ierobežot tiesības pārsūdzēt pirmās instances tiesas pieņemtu nolēmumu vienošanās procesā, bet gan nolūkā garantēt kasācijas instances tiesas procesa efektivitāti grozīt šajā procesā iesniegto sūdzību vai protestu izskatīšanas kārtību no kasācijas instances uz apelācijas instances tiesu. </w:t>
            </w:r>
          </w:p>
          <w:p w14:paraId="3BC2FF56"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Lai arī no tiesībām uz taisnīgu tiesu neizriet valsts pienākums ikvienas kategorijas lietai izveidot apelācijas instances tiesu un vēl jo vairāk – kasācijas instances tiesu, ja valsts attiecīgo instanču tiesas tomēr ir izveidojusi, tad to </w:t>
            </w:r>
            <w:r w:rsidRPr="007334AD">
              <w:rPr>
                <w:rFonts w:ascii="Times New Roman" w:hAnsi="Times New Roman" w:cs="Times New Roman"/>
                <w:sz w:val="24"/>
                <w:szCs w:val="24"/>
              </w:rPr>
              <w:lastRenderedPageBreak/>
              <w:t>darbībai ir jāatbilst gan pieejamības, gan taisnīgas procedūras un citu tiesību uz taisnīgu tiesu aspektiem.</w:t>
            </w:r>
            <w:r w:rsidRPr="007334AD">
              <w:rPr>
                <w:rStyle w:val="Vresatsauce"/>
              </w:rPr>
              <w:footnoteReference w:id="59"/>
            </w:r>
            <w:r w:rsidRPr="007334AD">
              <w:rPr>
                <w:rFonts w:ascii="Times New Roman" w:hAnsi="Times New Roman" w:cs="Times New Roman"/>
                <w:sz w:val="24"/>
                <w:szCs w:val="24"/>
              </w:rPr>
              <w:t xml:space="preserve"> Tas gan nenozīmē, ka gadījumā, ja valstī vispār ir tāda tiesa, kas kādas lietas izskata kā apelācijas vai kasācijas instances tiesa, tad valstij ir pienākums nodrošināt attiecīgas instances tiesu it visās lietās.</w:t>
            </w:r>
            <w:r w:rsidRPr="007334AD">
              <w:rPr>
                <w:rStyle w:val="Vresatsauce"/>
              </w:rPr>
              <w:footnoteReference w:id="60"/>
            </w:r>
            <w:r w:rsidRPr="007334AD">
              <w:rPr>
                <w:rFonts w:ascii="Times New Roman" w:hAnsi="Times New Roman" w:cs="Times New Roman"/>
                <w:sz w:val="24"/>
                <w:szCs w:val="24"/>
              </w:rPr>
              <w:t xml:space="preserve"> </w:t>
            </w:r>
          </w:p>
          <w:p w14:paraId="42CA56A4" w14:textId="77777777" w:rsidR="00C9653E" w:rsidRPr="007334AD" w:rsidRDefault="00C9653E" w:rsidP="00C9653E">
            <w:pPr>
              <w:pStyle w:val="Sarakstarindkopa"/>
              <w:spacing w:after="0" w:line="240" w:lineRule="auto"/>
              <w:ind w:left="0"/>
              <w:contextualSpacing w:val="0"/>
              <w:jc w:val="both"/>
              <w:rPr>
                <w:rFonts w:ascii="Times New Roman" w:hAnsi="Times New Roman" w:cs="Times New Roman"/>
                <w:b/>
                <w:bCs/>
                <w:i/>
                <w:iCs/>
                <w:sz w:val="24"/>
                <w:szCs w:val="24"/>
              </w:rPr>
            </w:pPr>
            <w:r w:rsidRPr="007334AD">
              <w:rPr>
                <w:rFonts w:ascii="Times New Roman" w:hAnsi="Times New Roman" w:cs="Times New Roman"/>
                <w:b/>
                <w:bCs/>
                <w:i/>
                <w:iCs/>
                <w:sz w:val="24"/>
                <w:szCs w:val="24"/>
              </w:rPr>
              <w:t xml:space="preserve">Likumdevēja piekrišana nepieciešamībai </w:t>
            </w:r>
            <w:proofErr w:type="spellStart"/>
            <w:r w:rsidRPr="007334AD">
              <w:rPr>
                <w:rFonts w:ascii="Times New Roman" w:hAnsi="Times New Roman" w:cs="Times New Roman"/>
                <w:b/>
                <w:bCs/>
                <w:i/>
                <w:iCs/>
                <w:sz w:val="24"/>
                <w:szCs w:val="24"/>
              </w:rPr>
              <w:t>efektivizēt</w:t>
            </w:r>
            <w:proofErr w:type="spellEnd"/>
            <w:r w:rsidRPr="007334AD">
              <w:rPr>
                <w:rFonts w:ascii="Times New Roman" w:hAnsi="Times New Roman" w:cs="Times New Roman"/>
                <w:b/>
                <w:bCs/>
                <w:i/>
                <w:iCs/>
                <w:sz w:val="24"/>
                <w:szCs w:val="24"/>
              </w:rPr>
              <w:t xml:space="preserve"> Augstākās tiesas darbu.</w:t>
            </w:r>
          </w:p>
          <w:p w14:paraId="676AA798"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Turklāt likumdevējs ir uzsvēris arī objektīvu nepieciešamību </w:t>
            </w:r>
            <w:proofErr w:type="spellStart"/>
            <w:r w:rsidRPr="007334AD">
              <w:rPr>
                <w:rFonts w:ascii="Times New Roman" w:hAnsi="Times New Roman" w:cs="Times New Roman"/>
                <w:sz w:val="24"/>
                <w:szCs w:val="24"/>
              </w:rPr>
              <w:t>efektivizēt</w:t>
            </w:r>
            <w:proofErr w:type="spellEnd"/>
            <w:r w:rsidRPr="007334AD">
              <w:rPr>
                <w:rFonts w:ascii="Times New Roman" w:hAnsi="Times New Roman" w:cs="Times New Roman"/>
                <w:sz w:val="24"/>
                <w:szCs w:val="24"/>
              </w:rPr>
              <w:t xml:space="preserve"> Augstākās tiesas darbu. Minētais izpaudies, grozot KPL 608.panta piektajā daļā noteikto kārtību, ka lēmums par medicīniska rakstura piespiedu līdzekļu atcelšanu vai grozīšanu vai arī atteikšanos to darīt ir pārsūdzams tikai apgabaltiesā.</w:t>
            </w:r>
            <w:r w:rsidRPr="007334AD">
              <w:rPr>
                <w:rStyle w:val="Vresatsauce"/>
              </w:rPr>
              <w:footnoteReference w:id="61"/>
            </w:r>
            <w:r w:rsidRPr="007334AD">
              <w:rPr>
                <w:rFonts w:ascii="Times New Roman" w:hAnsi="Times New Roman" w:cs="Times New Roman"/>
                <w:sz w:val="24"/>
                <w:szCs w:val="24"/>
              </w:rPr>
              <w:t xml:space="preserve"> Tāpat, grozot KPL 760.panta septīto daļu, likumdevējs uzsvēra, ka kopsakarā ar Augstākās tiesas īstenotajām funkcijām, secināts, ka nav nepieciešams šādu lēmumu pārsūdzēt Augstākajā tiesā, kas ir kasācijas instances tiesa, jo šajā gadījumā netiek izlemts jautājums par personas vainu.</w:t>
            </w:r>
            <w:r w:rsidRPr="007334AD">
              <w:rPr>
                <w:rStyle w:val="Vresatsauce"/>
              </w:rPr>
              <w:footnoteReference w:id="62"/>
            </w:r>
            <w:r w:rsidRPr="007334AD">
              <w:rPr>
                <w:rFonts w:ascii="Times New Roman" w:hAnsi="Times New Roman" w:cs="Times New Roman"/>
                <w:sz w:val="24"/>
                <w:szCs w:val="24"/>
              </w:rPr>
              <w:t xml:space="preserve"> Primāri minēto grozījumu mērķis bija atslogot kasācijas instanci no tādu jautājumu izskatīšanas, kas pēc sava rakstura un būtības neatbilst tās kompetencei. Vienlaikus šādā veidā likumdevējs uzsver nepieciešamību </w:t>
            </w:r>
            <w:proofErr w:type="spellStart"/>
            <w:r w:rsidRPr="007334AD">
              <w:rPr>
                <w:rFonts w:ascii="Times New Roman" w:hAnsi="Times New Roman" w:cs="Times New Roman"/>
                <w:sz w:val="24"/>
                <w:szCs w:val="24"/>
              </w:rPr>
              <w:t>efektivizēt</w:t>
            </w:r>
            <w:proofErr w:type="spellEnd"/>
            <w:r w:rsidRPr="007334AD">
              <w:rPr>
                <w:rFonts w:ascii="Times New Roman" w:hAnsi="Times New Roman" w:cs="Times New Roman"/>
                <w:sz w:val="24"/>
                <w:szCs w:val="24"/>
              </w:rPr>
              <w:t xml:space="preserve"> Augstākās tiesas darbu, ļaujot tai</w:t>
            </w:r>
            <w:r w:rsidRPr="007334AD">
              <w:rPr>
                <w:rFonts w:ascii="Times New Roman" w:hAnsi="Times New Roman" w:cs="Times New Roman"/>
                <w:bCs/>
                <w:sz w:val="24"/>
                <w:szCs w:val="24"/>
              </w:rPr>
              <w:t xml:space="preserve"> koncentrēties uz būtisko un tās funkcijās primāri ietilpstošo jautājumu risināšanu un judikatūras veidošanu.</w:t>
            </w:r>
          </w:p>
          <w:p w14:paraId="01AC6025"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No iepriekšminētā secināms, ka dažādu KPL ietvertu procesuālo institūtu ietvaros noteiktā pirmās instances tiesas pieņemtu lēmumu pārsūdzība uzreiz kasācijas kārtībā, ir pārņemta no Latvijas Kriminālprocesa kodeksa. Šobrīd likumdevējs pilnībā atbalsta nostāju, ka efektivitātes nolūkā ir nepieciešams atslogot Augstāko tiesu no tādu sūdzību vai protestu izskatīšanas, kas pēc sava rakstura un būtības neattiecas uz tās galveno funkciju izpildi. Vienlaikus tādā veidā tiek uzsvērts, ka kasācijas instances kompetencē neietilpstošu jautājumu izskatīšana pārsūdzības kārtībā ir piekritīga tieši apelācijas instances tiesai, kura skata lietas kā faktisku, tā juridisku iemeslu dēļ.</w:t>
            </w:r>
          </w:p>
          <w:p w14:paraId="4CF10A76" w14:textId="77777777" w:rsidR="00C9653E" w:rsidRPr="007334AD" w:rsidRDefault="00C9653E" w:rsidP="00C9653E">
            <w:pPr>
              <w:pStyle w:val="Sarakstarindkopa"/>
              <w:spacing w:after="0" w:line="240" w:lineRule="auto"/>
              <w:ind w:left="0"/>
              <w:contextualSpacing w:val="0"/>
              <w:jc w:val="both"/>
              <w:rPr>
                <w:rFonts w:ascii="Times New Roman" w:hAnsi="Times New Roman" w:cs="Times New Roman"/>
                <w:b/>
                <w:bCs/>
                <w:i/>
                <w:iCs/>
                <w:sz w:val="24"/>
                <w:szCs w:val="24"/>
              </w:rPr>
            </w:pPr>
            <w:r w:rsidRPr="007334AD">
              <w:rPr>
                <w:rFonts w:ascii="Times New Roman" w:hAnsi="Times New Roman" w:cs="Times New Roman"/>
                <w:b/>
                <w:bCs/>
                <w:i/>
                <w:iCs/>
                <w:sz w:val="24"/>
                <w:szCs w:val="24"/>
              </w:rPr>
              <w:t>Turpmāka tiesu prakses nostiprināšana vienošanās procesā.</w:t>
            </w:r>
          </w:p>
          <w:p w14:paraId="562B325A"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lastRenderedPageBreak/>
              <w:t>Lietu kategorijās, kurās kasācijas instances tiesa nav paredzēta, liela nozīme vienveidīgas tiesu prakses veidošanā ir zemāko instanču tiesām.</w:t>
            </w:r>
            <w:r w:rsidRPr="007334AD">
              <w:rPr>
                <w:rStyle w:val="Vresatsauce"/>
              </w:rPr>
              <w:footnoteReference w:id="63"/>
            </w:r>
            <w:r w:rsidRPr="007334AD">
              <w:rPr>
                <w:rFonts w:ascii="Times New Roman" w:hAnsi="Times New Roman" w:cs="Times New Roman"/>
                <w:sz w:val="24"/>
                <w:szCs w:val="24"/>
              </w:rPr>
              <w:t xml:space="preserve"> </w:t>
            </w:r>
          </w:p>
          <w:p w14:paraId="52377D3D"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Līdz šim brīdim Senāta Krimināllietu departaments, izskatot kasācijas sūdzības vai protestus vienošanās procesā, ir izveidojis stabilu un vienveidīgu tiesu praksi. Augstākā tiesa vienošanās procesu lietās jau ir sniegusi interpretāciju par juridiski neskaidrajiem jautājumiem un savā tiesu praksē par vienošanās procesu ir sniegusi skaidras un saprotamas atbildes, tādā veidā pilnībā izpildot un ievērojami samazinot kasācijas instances tiesas lomu šo lietu kategorijas turpmākā izskatīšanā.</w:t>
            </w:r>
          </w:p>
          <w:p w14:paraId="35CC5F22"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Vienošanās procesa kārtības regulējums ir bijis mainīgs. Likumdevējs ar grozījumiem KPL, kas spēkā stājās 2020.gada 6.jūlijā, ir precizējis šajā likumā noteikto vienošanās procesa kārtību attiecībā uz vienošanās protokola saturu un prokurora sagatavotā ierosinājuma saturu, ko kopā ar vienošanās protokolu un krimināllietas materiāliem vienošanās procesā </w:t>
            </w:r>
            <w:proofErr w:type="spellStart"/>
            <w:r w:rsidRPr="007334AD">
              <w:rPr>
                <w:rFonts w:ascii="Times New Roman" w:hAnsi="Times New Roman" w:cs="Times New Roman"/>
                <w:sz w:val="24"/>
                <w:szCs w:val="24"/>
              </w:rPr>
              <w:t>nosūta</w:t>
            </w:r>
            <w:proofErr w:type="spellEnd"/>
            <w:r w:rsidRPr="007334AD">
              <w:rPr>
                <w:rFonts w:ascii="Times New Roman" w:hAnsi="Times New Roman" w:cs="Times New Roman"/>
                <w:sz w:val="24"/>
                <w:szCs w:val="24"/>
              </w:rPr>
              <w:t xml:space="preserve"> tiesai. Precizētā procesuālā kārtība kopā ar jau stabili nostiprināto judikatūru pilnībā novērsa iepriekš pastāvējušās nepilnības un neskaidrības. Tas nozīmē, ka šobrīd Augstākā tiesa kā kasācijas instances tiesa vienošanās procesā faktiski veic pirmās instances tiesas nolēmumā pieļauto kļūdu labošanu nevis veicina judikatūras veidošanu un tiesību attīstību. Tādējādi apelācijas instances tiesa efektīvi savas kompetences ietvaros spēs novērtēt iesniegtajās sūdzībās vai protestos minēto juridisko iemeslu pamatotību atbilstoši jau Augstākās tiesas skaidri un stabili nostiprinātajai tiesu praksei.</w:t>
            </w:r>
          </w:p>
          <w:p w14:paraId="7C6A6A3F"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Papildus atzīmējams, ka pirmās instances tiesas pieņemta nolēmuma pārsūdzības priekšmets vienošanās procesā ir vienošanās procesa kārtības pārkāpumi vai Krimināllikuma normu pārkāpumi. Tādēļ apelācijas sūdzībā vai protestā ietverami tikai uz minēto priekšmetu attiecināmi apsvērumi. </w:t>
            </w:r>
          </w:p>
          <w:p w14:paraId="197AFD5B"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Apelācijas instances tiesai tiks uzticēta nozīmīga loma turpināt vienveidīgu tiesu praksi. Pat ja apelācijas instances tiesai vienošanās procesā radīsies ar tiesību normu interpretāciju saistīti jautājumi, par to iespējams informēt Augstākās tiesas priekšsēdētāju. Atbilstoši likuma „Par tiesu varu” 49.</w:t>
            </w:r>
            <w:r w:rsidRPr="007334AD">
              <w:rPr>
                <w:rFonts w:ascii="Times New Roman" w:hAnsi="Times New Roman" w:cs="Times New Roman"/>
                <w:sz w:val="24"/>
                <w:szCs w:val="24"/>
                <w:vertAlign w:val="superscript"/>
              </w:rPr>
              <w:t>1 </w:t>
            </w:r>
            <w:r w:rsidRPr="007334AD">
              <w:rPr>
                <w:rFonts w:ascii="Times New Roman" w:hAnsi="Times New Roman" w:cs="Times New Roman"/>
                <w:sz w:val="24"/>
                <w:szCs w:val="24"/>
              </w:rPr>
              <w:t>panta pirmajai daļai Augstākās tiesas priekšsēdētājam ir tiesības sasaukt Senāta Krimināllietu departamenta kopsapulci aktuālu tiesību jautājumu apspriešanai. Tādā veidā papildus iespējams garantēt vienveidīgas tiesu prakses nodrošināšanu.</w:t>
            </w:r>
          </w:p>
          <w:p w14:paraId="1E565950"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Nododot par pirmās instances tiesas nolēmumu iesniegtu sūdzību vai protestu izskatīšanu apelācijas instances tiesai, netiks ierobežotas personas vai prokurora tiesības pārsūdzēt pirmās instances tiesas pieņemtu nolēmumu vienošanās </w:t>
            </w:r>
            <w:r w:rsidRPr="007334AD">
              <w:rPr>
                <w:rFonts w:ascii="Times New Roman" w:hAnsi="Times New Roman" w:cs="Times New Roman"/>
                <w:sz w:val="24"/>
                <w:szCs w:val="24"/>
              </w:rPr>
              <w:lastRenderedPageBreak/>
              <w:t xml:space="preserve">procesā, bet gan tiks institucionāli </w:t>
            </w:r>
            <w:proofErr w:type="spellStart"/>
            <w:r w:rsidRPr="007334AD">
              <w:rPr>
                <w:rFonts w:ascii="Times New Roman" w:hAnsi="Times New Roman" w:cs="Times New Roman"/>
                <w:sz w:val="24"/>
                <w:szCs w:val="24"/>
              </w:rPr>
              <w:t>efektivizēta</w:t>
            </w:r>
            <w:proofErr w:type="spellEnd"/>
            <w:r w:rsidRPr="007334AD">
              <w:rPr>
                <w:rFonts w:ascii="Times New Roman" w:hAnsi="Times New Roman" w:cs="Times New Roman"/>
                <w:sz w:val="24"/>
                <w:szCs w:val="24"/>
              </w:rPr>
              <w:t xml:space="preserve"> šo lietu izskatīšana. Tādējādi, nosakot, ka vienošanās procesā iesniegtu sūdzību vai protestu izskatīšana ietilpst apelācijas instances tiesas kompetencē, tiks nodrošinātas vienošanās procesā iesaistīto personu tiesības uz taisnīgu tiesu, modernizēta un aizstāta laikmetam neatbilstošā pārsūdzības kārtība, kā arī būtiski sekmēta Senāta Krimināllietu departamenta kompetencē primāri ietilpstošo lietu efektīva izskatīšana saprātīgā laika posmā.</w:t>
            </w:r>
          </w:p>
          <w:p w14:paraId="1325611E" w14:textId="1C0B7093" w:rsidR="000F5E4B" w:rsidRDefault="000F5E4B" w:rsidP="00B02AB4">
            <w:pPr>
              <w:shd w:val="clear" w:color="auto" w:fill="FFFFFF"/>
              <w:spacing w:after="0" w:line="240" w:lineRule="auto"/>
              <w:jc w:val="both"/>
              <w:rPr>
                <w:rFonts w:ascii="Times New Roman" w:hAnsi="Times New Roman" w:cs="Times New Roman"/>
                <w:b/>
                <w:bCs/>
                <w:sz w:val="24"/>
                <w:szCs w:val="24"/>
                <w:shd w:val="clear" w:color="auto" w:fill="FFFFFF"/>
              </w:rPr>
            </w:pPr>
          </w:p>
          <w:p w14:paraId="7DEA8579" w14:textId="3C1E1014" w:rsidR="000F5E4B" w:rsidRPr="000F5E4B" w:rsidRDefault="000F5E4B" w:rsidP="00B02AB4">
            <w:pPr>
              <w:shd w:val="clear" w:color="auto" w:fill="FFFFFF"/>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Par grozījumiem procesā par noziedzīgi iegūtu mantu.</w:t>
            </w:r>
          </w:p>
          <w:p w14:paraId="28856AFB" w14:textId="77777777" w:rsidR="00C9653E" w:rsidRPr="00C9653E" w:rsidRDefault="00C9653E" w:rsidP="00C9653E">
            <w:pPr>
              <w:spacing w:after="0" w:line="240" w:lineRule="auto"/>
              <w:jc w:val="both"/>
              <w:rPr>
                <w:rFonts w:ascii="Times New Roman" w:hAnsi="Times New Roman" w:cs="Times New Roman"/>
                <w:sz w:val="24"/>
                <w:szCs w:val="24"/>
              </w:rPr>
            </w:pPr>
            <w:r w:rsidRPr="00C9653E">
              <w:rPr>
                <w:rFonts w:ascii="Times New Roman" w:hAnsi="Times New Roman" w:cs="Times New Roman"/>
                <w:sz w:val="24"/>
                <w:szCs w:val="24"/>
              </w:rPr>
              <w:t>Grozījumi</w:t>
            </w:r>
            <w:r w:rsidRPr="00C9653E">
              <w:rPr>
                <w:rFonts w:ascii="Times New Roman" w:hAnsi="Times New Roman" w:cs="Times New Roman"/>
                <w:b/>
                <w:bCs/>
                <w:sz w:val="24"/>
                <w:szCs w:val="24"/>
              </w:rPr>
              <w:t xml:space="preserve"> KPL 627. pantā</w:t>
            </w:r>
            <w:r w:rsidRPr="00C9653E">
              <w:rPr>
                <w:rFonts w:ascii="Times New Roman" w:hAnsi="Times New Roman" w:cs="Times New Roman"/>
                <w:sz w:val="24"/>
                <w:szCs w:val="24"/>
              </w:rPr>
              <w:t xml:space="preserve"> ir saistīti ar procesā par noziedzīgi iegūtu mantu izdalītās krimināllietas materiālu pieejamību lietas dalībniekiem. Šobrīd atbalstoši KPL 627. panta ceturtajai un piektajai daļai ar materiāliem drīkst iepazīties procesa virzītājs, prokurors un tiesa, kas izskata šo lietu, savukārt pārējie lietas dalībnieki ar lietā esošajiem materiāliem var iepazīties ar procesa virzītāja atļauju un viņa noteiktajā apjomā. Attiecīgi procesa virzītāja lēmumu par lūguma par iepazīšanos ar lietas materiāliem noraidīšanu var pārsūdzēt rajona (pilsētas) tiesā, kas izskata procesu par noziedzīgi iegūtu mantu. Minētā kārtība tika noteikta ar grozījumiem KPL, kas stājās spēkā 2018.gada 1.septembrī saistībā ar </w:t>
            </w:r>
            <w:r w:rsidRPr="00C9653E">
              <w:rPr>
                <w:rFonts w:ascii="Times New Roman" w:eastAsia="Times New Roman" w:hAnsi="Times New Roman" w:cs="Times New Roman"/>
                <w:sz w:val="24"/>
                <w:szCs w:val="24"/>
                <w:lang w:eastAsia="lv-LV"/>
              </w:rPr>
              <w:t>Satversmes tiesas 2017. gada 23. maija spriedumu lietā Nr. 2016-13-01, kas stājās spēkā 2017. gada 25. maijā un ar kuru KPL 629. panta piektā daļa, ciktāl tiesa nevar pārvērtēt procesa virzītāja lēmuma par personas tiesībām iepazīties ar procesa par noziedzīgi iegūtu mantu lietas materiāliem tiesiskumu un pamatotību, atzīta par neatbilstošu Latvijas Republikas Satversmes 92. panta pirmajam teikumam.</w:t>
            </w:r>
          </w:p>
          <w:p w14:paraId="2165DCC7" w14:textId="3ED27747" w:rsidR="00C9653E" w:rsidRDefault="00C9653E" w:rsidP="00C9653E">
            <w:pPr>
              <w:spacing w:after="0" w:line="240" w:lineRule="auto"/>
              <w:jc w:val="both"/>
              <w:rPr>
                <w:rFonts w:ascii="Times New Roman" w:hAnsi="Times New Roman" w:cs="Times New Roman"/>
                <w:sz w:val="24"/>
                <w:szCs w:val="24"/>
              </w:rPr>
            </w:pPr>
            <w:r w:rsidRPr="007334AD">
              <w:rPr>
                <w:rFonts w:ascii="Times New Roman" w:eastAsia="Times New Roman" w:hAnsi="Times New Roman" w:cs="Times New Roman"/>
                <w:sz w:val="24"/>
                <w:szCs w:val="24"/>
                <w:lang w:eastAsia="lv-LV"/>
              </w:rPr>
              <w:t xml:space="preserve">Praktiķi ir norādījuši uz nepilnībām minētajā regulējumā, proti, KPL </w:t>
            </w:r>
            <w:r w:rsidRPr="007334AD">
              <w:rPr>
                <w:rFonts w:ascii="Times New Roman" w:hAnsi="Times New Roman" w:cs="Times New Roman"/>
                <w:bCs/>
                <w:sz w:val="24"/>
                <w:szCs w:val="24"/>
              </w:rPr>
              <w:t>629.panta</w:t>
            </w:r>
            <w:r w:rsidRPr="007334AD">
              <w:rPr>
                <w:rFonts w:ascii="Times New Roman" w:hAnsi="Times New Roman" w:cs="Times New Roman"/>
                <w:sz w:val="24"/>
                <w:szCs w:val="24"/>
              </w:rPr>
              <w:t xml:space="preserve"> otrajā daļā noteikts, ka tiesas sēdei jānotiek 10 dienu laikā pēc procesa virzītāja lēmuma saņemšanas tiesā, bet praksē konstatēts, ka pirmajā tiesas sēdē </w:t>
            </w:r>
            <w:r w:rsidRPr="007334AD">
              <w:rPr>
                <w:rFonts w:ascii="Times New Roman" w:hAnsi="Times New Roman" w:cs="Times New Roman"/>
                <w:bCs/>
                <w:sz w:val="24"/>
                <w:szCs w:val="24"/>
              </w:rPr>
              <w:t xml:space="preserve">vairumā gadījumu </w:t>
            </w:r>
            <w:r w:rsidR="004A4C0A">
              <w:rPr>
                <w:rFonts w:ascii="Times New Roman" w:hAnsi="Times New Roman" w:cs="Times New Roman"/>
                <w:bCs/>
                <w:sz w:val="24"/>
                <w:szCs w:val="24"/>
              </w:rPr>
              <w:t>personas</w:t>
            </w:r>
            <w:r w:rsidRPr="007334AD">
              <w:rPr>
                <w:rFonts w:ascii="Times New Roman" w:hAnsi="Times New Roman" w:cs="Times New Roman"/>
                <w:bCs/>
                <w:sz w:val="24"/>
                <w:szCs w:val="24"/>
              </w:rPr>
              <w:t xml:space="preserve"> izsaka lūgumu par atļauju iepazīties ar lietas materiāliem un tiesa</w:t>
            </w:r>
            <w:r>
              <w:rPr>
                <w:rFonts w:ascii="Times New Roman" w:hAnsi="Times New Roman" w:cs="Times New Roman"/>
                <w:bCs/>
                <w:sz w:val="24"/>
                <w:szCs w:val="24"/>
              </w:rPr>
              <w:t>,</w:t>
            </w:r>
            <w:r w:rsidRPr="007334AD">
              <w:rPr>
                <w:rFonts w:ascii="Times New Roman" w:hAnsi="Times New Roman" w:cs="Times New Roman"/>
                <w:bCs/>
                <w:sz w:val="24"/>
                <w:szCs w:val="24"/>
              </w:rPr>
              <w:t xml:space="preserve"> apmierinot lūgumu</w:t>
            </w:r>
            <w:r>
              <w:rPr>
                <w:rFonts w:ascii="Times New Roman" w:hAnsi="Times New Roman" w:cs="Times New Roman"/>
                <w:bCs/>
                <w:sz w:val="24"/>
                <w:szCs w:val="24"/>
              </w:rPr>
              <w:t>,</w:t>
            </w:r>
            <w:r w:rsidRPr="007334AD">
              <w:rPr>
                <w:rFonts w:ascii="Times New Roman" w:hAnsi="Times New Roman" w:cs="Times New Roman"/>
                <w:bCs/>
                <w:sz w:val="24"/>
                <w:szCs w:val="24"/>
              </w:rPr>
              <w:t xml:space="preserve"> atliek tiesas sēdi. Attiecīgi nākamā tiesas sēde tiek nozīmēta pēc tam, kad jau ir notikusi iepazīšanās ar materiāliem, kas atkarībā no tiesu</w:t>
            </w:r>
            <w:r w:rsidR="004A4C0A">
              <w:rPr>
                <w:rFonts w:ascii="Times New Roman" w:hAnsi="Times New Roman" w:cs="Times New Roman"/>
                <w:bCs/>
                <w:sz w:val="24"/>
                <w:szCs w:val="24"/>
              </w:rPr>
              <w:t>, procesa virzītāju</w:t>
            </w:r>
            <w:r w:rsidRPr="007334AD">
              <w:rPr>
                <w:rFonts w:ascii="Times New Roman" w:hAnsi="Times New Roman" w:cs="Times New Roman"/>
                <w:bCs/>
                <w:sz w:val="24"/>
                <w:szCs w:val="24"/>
              </w:rPr>
              <w:t xml:space="preserve"> un advokātu noslodzes, tiek nozīmēta vēlāk. Tāpat arī gadījumā, ja tiek pārsūdzēts procesa virzītāja lēmums par </w:t>
            </w:r>
            <w:r w:rsidRPr="007334AD">
              <w:rPr>
                <w:rFonts w:ascii="Times New Roman" w:hAnsi="Times New Roman" w:cs="Times New Roman"/>
                <w:sz w:val="24"/>
                <w:szCs w:val="24"/>
              </w:rPr>
              <w:t>lūguma par iepazīšanos ar lietas materiāliem</w:t>
            </w:r>
            <w:r w:rsidR="000D1C81">
              <w:rPr>
                <w:rFonts w:ascii="Times New Roman" w:hAnsi="Times New Roman" w:cs="Times New Roman"/>
                <w:sz w:val="24"/>
                <w:szCs w:val="24"/>
              </w:rPr>
              <w:t xml:space="preserve"> noraidīšanu,</w:t>
            </w:r>
            <w:r w:rsidRPr="007334AD">
              <w:rPr>
                <w:rFonts w:ascii="Times New Roman" w:hAnsi="Times New Roman" w:cs="Times New Roman"/>
                <w:sz w:val="24"/>
                <w:szCs w:val="24"/>
              </w:rPr>
              <w:t xml:space="preserve"> var tikt kavēta procesa virzība, īpaši gadījumos, ja tiesa atceļ lēmumu un ir nepieciešams laiks, lai persona varētu iepazīties ar lietas materiāliem. Ievērojot minētos trūkumus pašreizējā regulējumā, ir nepieciešams izdarīt grozījumus KPL 627. pantā, nosakot citādu kārtību, kā lietas dalībnieki var iepazīties ar materiāliem. </w:t>
            </w:r>
          </w:p>
          <w:p w14:paraId="5BD37D9B" w14:textId="2B36B81C" w:rsidR="00C9653E" w:rsidRPr="007D05C3"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Atbilstoši </w:t>
            </w:r>
            <w:r w:rsidRPr="007334AD">
              <w:rPr>
                <w:rFonts w:ascii="Times New Roman" w:hAnsi="Times New Roman" w:cs="Times New Roman"/>
                <w:b/>
                <w:bCs/>
                <w:sz w:val="24"/>
                <w:szCs w:val="24"/>
              </w:rPr>
              <w:t xml:space="preserve">KPL 627. panta </w:t>
            </w:r>
            <w:r w:rsidRPr="007334AD">
              <w:rPr>
                <w:rFonts w:ascii="Times New Roman" w:hAnsi="Times New Roman" w:cs="Times New Roman"/>
                <w:sz w:val="24"/>
                <w:szCs w:val="24"/>
              </w:rPr>
              <w:t xml:space="preserve">otrās daļas 1.punktam turpmāk procesa virzītājam lēmumā </w:t>
            </w:r>
            <w:r w:rsidRPr="007334AD">
              <w:rPr>
                <w:rFonts w:ascii="Times New Roman" w:hAnsi="Times New Roman" w:cs="Times New Roman"/>
                <w:sz w:val="24"/>
                <w:szCs w:val="24"/>
                <w:shd w:val="clear" w:color="auto" w:fill="FFFFFF"/>
              </w:rPr>
              <w:t xml:space="preserve">uzsākt procesu par noziedzīgi </w:t>
            </w:r>
            <w:r w:rsidRPr="007334AD">
              <w:rPr>
                <w:rFonts w:ascii="Times New Roman" w:hAnsi="Times New Roman" w:cs="Times New Roman"/>
                <w:sz w:val="24"/>
                <w:szCs w:val="24"/>
                <w:shd w:val="clear" w:color="auto" w:fill="FFFFFF"/>
              </w:rPr>
              <w:lastRenderedPageBreak/>
              <w:t xml:space="preserve">iegūtu mantu un nodot materiālus par noziedzīgi iegūtu mantu izlemšanai tiesai jānorāda arī kādi </w:t>
            </w:r>
            <w:r w:rsidRPr="007334AD">
              <w:rPr>
                <w:rFonts w:ascii="Times New Roman" w:hAnsi="Times New Roman" w:cs="Times New Roman"/>
                <w:sz w:val="24"/>
                <w:szCs w:val="24"/>
              </w:rPr>
              <w:t xml:space="preserve">lietas materiāli pamato ziņu par </w:t>
            </w:r>
            <w:r w:rsidRPr="007334AD">
              <w:rPr>
                <w:rFonts w:ascii="Times New Roman" w:hAnsi="Times New Roman" w:cs="Times New Roman"/>
                <w:sz w:val="24"/>
                <w:szCs w:val="24"/>
                <w:shd w:val="clear" w:color="auto" w:fill="FFFFFF"/>
              </w:rPr>
              <w:t xml:space="preserve">mantas saistību ar noziedzīgu nodarījumu vai mantas noziedzīgo izcelsmi </w:t>
            </w:r>
            <w:r w:rsidRPr="007334AD">
              <w:rPr>
                <w:rFonts w:ascii="Times New Roman" w:hAnsi="Times New Roman" w:cs="Times New Roman"/>
                <w:b/>
                <w:bCs/>
                <w:sz w:val="24"/>
                <w:szCs w:val="24"/>
              </w:rPr>
              <w:t>esību</w:t>
            </w:r>
            <w:r w:rsidRPr="007334AD">
              <w:rPr>
                <w:rFonts w:ascii="Times New Roman" w:hAnsi="Times New Roman" w:cs="Times New Roman"/>
                <w:sz w:val="24"/>
                <w:szCs w:val="24"/>
              </w:rPr>
              <w:t xml:space="preserve"> un tiek izdalīti no izmeklēšanā esošās krimināllietas par noziedzīgu nodarījumu. Proti, konkrēti jānorāda kādi lietas materiāli pamato konkrētās ziņas par mantas izcelsmi. Attiecīgi atbilstoši minētā panta ceturtajai daļai ar lēmumā par procesa uzsākšanu par noziedzīgi iegūtu mantu minētiem materiāliem, nodrošinot pierādījumos minēto personu </w:t>
            </w:r>
            <w:proofErr w:type="spellStart"/>
            <w:r w:rsidRPr="007334AD">
              <w:rPr>
                <w:rFonts w:ascii="Times New Roman" w:hAnsi="Times New Roman" w:cs="Times New Roman"/>
                <w:sz w:val="24"/>
                <w:szCs w:val="24"/>
              </w:rPr>
              <w:t>pamattiesību</w:t>
            </w:r>
            <w:proofErr w:type="spellEnd"/>
            <w:r w:rsidRPr="007334AD">
              <w:rPr>
                <w:rFonts w:ascii="Times New Roman" w:hAnsi="Times New Roman" w:cs="Times New Roman"/>
                <w:sz w:val="24"/>
                <w:szCs w:val="24"/>
              </w:rPr>
              <w:t xml:space="preserve"> apdraudējuma nepieļaušanu, sabiedrības interešu aizsardzību un neapdraudot kriminālprocesa, no kura izdalīti materiāli, mērķa sasniegšanu, </w:t>
            </w:r>
            <w:r w:rsidRPr="007334AD">
              <w:rPr>
                <w:rFonts w:ascii="Times New Roman" w:hAnsi="Times New Roman" w:cs="Times New Roman"/>
                <w:b/>
                <w:bCs/>
                <w:sz w:val="24"/>
                <w:szCs w:val="24"/>
              </w:rPr>
              <w:t>var iepazīties lietas dalībnieki</w:t>
            </w:r>
            <w:r w:rsidRPr="007334AD">
              <w:rPr>
                <w:rFonts w:ascii="Times New Roman" w:hAnsi="Times New Roman" w:cs="Times New Roman"/>
                <w:sz w:val="24"/>
                <w:szCs w:val="24"/>
              </w:rPr>
              <w:t xml:space="preserve">. Tādējādi lietas dalībniekiem ir pieejami visi lietas materiāli, kas tiek nodoti tiesai, nodrošinot kriminālprocesa mērķa sasniegšanu, personu </w:t>
            </w:r>
            <w:proofErr w:type="spellStart"/>
            <w:r w:rsidRPr="007334AD">
              <w:rPr>
                <w:rFonts w:ascii="Times New Roman" w:hAnsi="Times New Roman" w:cs="Times New Roman"/>
                <w:sz w:val="24"/>
                <w:szCs w:val="24"/>
              </w:rPr>
              <w:t>pamattiesību</w:t>
            </w:r>
            <w:proofErr w:type="spellEnd"/>
            <w:r w:rsidRPr="007334AD">
              <w:rPr>
                <w:rFonts w:ascii="Times New Roman" w:hAnsi="Times New Roman" w:cs="Times New Roman"/>
                <w:sz w:val="24"/>
                <w:szCs w:val="24"/>
              </w:rPr>
              <w:t xml:space="preserve"> aizsardzību un sabiedrības intereses, piemēram, nepieciešamības gadījumā </w:t>
            </w:r>
            <w:proofErr w:type="spellStart"/>
            <w:r w:rsidRPr="007334AD">
              <w:rPr>
                <w:rFonts w:ascii="Times New Roman" w:hAnsi="Times New Roman" w:cs="Times New Roman"/>
                <w:sz w:val="24"/>
                <w:szCs w:val="24"/>
              </w:rPr>
              <w:t>anonimizējot</w:t>
            </w:r>
            <w:proofErr w:type="spellEnd"/>
            <w:r w:rsidRPr="007334AD">
              <w:rPr>
                <w:rFonts w:ascii="Times New Roman" w:hAnsi="Times New Roman" w:cs="Times New Roman"/>
                <w:sz w:val="24"/>
                <w:szCs w:val="24"/>
              </w:rPr>
              <w:t xml:space="preserve"> liecinieku personas datus. </w:t>
            </w:r>
            <w:r>
              <w:rPr>
                <w:rFonts w:ascii="Times New Roman" w:hAnsi="Times New Roman" w:cs="Times New Roman"/>
                <w:sz w:val="24"/>
                <w:szCs w:val="24"/>
              </w:rPr>
              <w:t xml:space="preserve"> No minētā izriet, ka procesa virzītājs tikai objektīvu apsvērumu, proti, pantā minēto interešu apdraudējuma dēļ var </w:t>
            </w:r>
            <w:r w:rsidRPr="007D05C3">
              <w:rPr>
                <w:rFonts w:ascii="Times New Roman" w:hAnsi="Times New Roman" w:cs="Times New Roman"/>
                <w:sz w:val="24"/>
                <w:szCs w:val="24"/>
              </w:rPr>
              <w:t>liegt personai iepa</w:t>
            </w:r>
            <w:r w:rsidRPr="0082719E">
              <w:rPr>
                <w:rFonts w:ascii="Times New Roman" w:hAnsi="Times New Roman" w:cs="Times New Roman"/>
                <w:sz w:val="24"/>
                <w:szCs w:val="24"/>
              </w:rPr>
              <w:t>zīties ar konkrētiem lietas materiāliem. Turklāt nepieciešamību šādus materiālus iekļaut izdalītajā lietā ir rūpīgi jāizvērtē, jo</w:t>
            </w:r>
            <w:r w:rsidR="004A4C0A">
              <w:rPr>
                <w:rFonts w:ascii="Times New Roman" w:hAnsi="Times New Roman" w:cs="Times New Roman"/>
                <w:sz w:val="24"/>
                <w:szCs w:val="24"/>
              </w:rPr>
              <w:t>,</w:t>
            </w:r>
            <w:r w:rsidRPr="0082719E">
              <w:rPr>
                <w:rFonts w:ascii="Times New Roman" w:hAnsi="Times New Roman" w:cs="Times New Roman"/>
                <w:sz w:val="24"/>
                <w:szCs w:val="24"/>
              </w:rPr>
              <w:t xml:space="preserve"> </w:t>
            </w:r>
            <w:r w:rsidRPr="007D05C3">
              <w:rPr>
                <w:rFonts w:ascii="Times New Roman" w:hAnsi="Times New Roman" w:cs="Times New Roman"/>
                <w:sz w:val="24"/>
                <w:szCs w:val="24"/>
              </w:rPr>
              <w:t>lai nodrošinātu personas, tostarp aizskartā mantas īpašnieka</w:t>
            </w:r>
            <w:r>
              <w:rPr>
                <w:rFonts w:ascii="Times New Roman" w:hAnsi="Times New Roman" w:cs="Times New Roman"/>
                <w:sz w:val="24"/>
                <w:szCs w:val="24"/>
              </w:rPr>
              <w:t>,</w:t>
            </w:r>
            <w:r w:rsidRPr="00651D61">
              <w:rPr>
                <w:rFonts w:ascii="Times New Roman" w:hAnsi="Times New Roman" w:cs="Times New Roman"/>
                <w:sz w:val="24"/>
                <w:szCs w:val="24"/>
              </w:rPr>
              <w:t xml:space="preserve"> tiesības uz taisnīgu tiesu un pušu līdztiesību, </w:t>
            </w:r>
            <w:r w:rsidRPr="007D05C3">
              <w:rPr>
                <w:rFonts w:ascii="Times New Roman" w:hAnsi="Times New Roman" w:cs="Times New Roman"/>
                <w:sz w:val="24"/>
                <w:szCs w:val="24"/>
                <w:u w:val="single"/>
              </w:rPr>
              <w:t>nav pieļaujams, ka tiesa pieņem lēmumu par mantas atzīšanu par noziedzīgi iegūtu, pamatojoties uz tādiem pierādījumiem, kas nav pieejami lietas dalībniekiem.</w:t>
            </w:r>
            <w:r w:rsidRPr="007D05C3">
              <w:rPr>
                <w:rFonts w:ascii="Times New Roman" w:hAnsi="Times New Roman" w:cs="Times New Roman"/>
                <w:sz w:val="24"/>
                <w:szCs w:val="24"/>
              </w:rPr>
              <w:t xml:space="preserve"> Tiesības uz pušu līdztiesību krimināllietās nozīmē, ka katrai pusei jābūt iespējai iepazīties ar otras puses iesniegtajiem komentāriem un pierādījumiem un sniegt savus paskaidrojumus par tiem. Tomēr neatkarīgi no izvēlētās metodes, kā šīs prasības izpildi nodrošina nacionālajā tiesību sistēmā, tai jānodrošina, ka otra puse uzzina par iesniegtajiem paskaidrojumiem un ka šai pusei tiek dota reāla iespēja par tiem iesniegt savus paskaidrojumus (Eiropas Cilvēktiesību tiesas 1991. gada 28. augusta sprieduma lietā „</w:t>
            </w:r>
            <w:proofErr w:type="spellStart"/>
            <w:r w:rsidRPr="007D05C3">
              <w:rPr>
                <w:rFonts w:ascii="Times New Roman" w:hAnsi="Times New Roman" w:cs="Times New Roman"/>
                <w:sz w:val="24"/>
                <w:szCs w:val="24"/>
              </w:rPr>
              <w:t>Brandstetter</w:t>
            </w:r>
            <w:proofErr w:type="spellEnd"/>
            <w:r w:rsidRPr="007D05C3">
              <w:rPr>
                <w:rFonts w:ascii="Times New Roman" w:hAnsi="Times New Roman" w:cs="Times New Roman"/>
                <w:sz w:val="24"/>
                <w:szCs w:val="24"/>
              </w:rPr>
              <w:t xml:space="preserve"> v. </w:t>
            </w:r>
            <w:proofErr w:type="spellStart"/>
            <w:r w:rsidRPr="007D05C3">
              <w:rPr>
                <w:rFonts w:ascii="Times New Roman" w:hAnsi="Times New Roman" w:cs="Times New Roman"/>
                <w:sz w:val="24"/>
                <w:szCs w:val="24"/>
              </w:rPr>
              <w:t>Austria</w:t>
            </w:r>
            <w:proofErr w:type="spellEnd"/>
            <w:r w:rsidRPr="007D05C3">
              <w:rPr>
                <w:rFonts w:ascii="Times New Roman" w:hAnsi="Times New Roman" w:cs="Times New Roman"/>
                <w:sz w:val="24"/>
                <w:szCs w:val="24"/>
              </w:rPr>
              <w:t>”, pieteikumi Nr. 11170/84, Nr. 12876/87 un Nr. 13468/87, 67. punkts).</w:t>
            </w:r>
          </w:p>
          <w:p w14:paraId="5B868FCE" w14:textId="77777777" w:rsidR="00C9653E" w:rsidRPr="007D05C3" w:rsidRDefault="00C9653E" w:rsidP="00C9653E">
            <w:pPr>
              <w:spacing w:after="0" w:line="240" w:lineRule="auto"/>
              <w:jc w:val="both"/>
              <w:rPr>
                <w:rFonts w:ascii="Times New Roman" w:eastAsia="Times New Roman" w:hAnsi="Times New Roman" w:cs="Times New Roman"/>
                <w:sz w:val="24"/>
                <w:szCs w:val="24"/>
                <w:lang w:eastAsia="lv-LV"/>
              </w:rPr>
            </w:pPr>
            <w:r w:rsidRPr="007D05C3">
              <w:rPr>
                <w:rFonts w:ascii="Times New Roman" w:hAnsi="Times New Roman" w:cs="Times New Roman"/>
                <w:sz w:val="24"/>
                <w:szCs w:val="24"/>
              </w:rPr>
              <w:t xml:space="preserve">Satversmes tiesas </w:t>
            </w:r>
            <w:r w:rsidRPr="007D05C3">
              <w:rPr>
                <w:rFonts w:ascii="Times New Roman" w:eastAsia="Times New Roman" w:hAnsi="Times New Roman" w:cs="Times New Roman"/>
                <w:sz w:val="24"/>
                <w:szCs w:val="24"/>
                <w:lang w:eastAsia="lv-LV"/>
              </w:rPr>
              <w:t>2017. gada 23. maija spriedum</w:t>
            </w:r>
            <w:r>
              <w:rPr>
                <w:rFonts w:ascii="Times New Roman" w:eastAsia="Times New Roman" w:hAnsi="Times New Roman" w:cs="Times New Roman"/>
                <w:sz w:val="24"/>
                <w:szCs w:val="24"/>
                <w:lang w:eastAsia="lv-LV"/>
              </w:rPr>
              <w:t>ā</w:t>
            </w:r>
            <w:r w:rsidRPr="007D05C3">
              <w:rPr>
                <w:rFonts w:ascii="Times New Roman" w:eastAsia="Times New Roman" w:hAnsi="Times New Roman" w:cs="Times New Roman"/>
                <w:sz w:val="24"/>
                <w:szCs w:val="24"/>
                <w:lang w:eastAsia="lv-LV"/>
              </w:rPr>
              <w:t xml:space="preserve"> lietā Nr. 2016-13-01, norādīts, ka </w:t>
            </w:r>
            <w:r w:rsidRPr="007D05C3">
              <w:rPr>
                <w:rFonts w:ascii="Times New Roman" w:hAnsi="Times New Roman" w:cs="Times New Roman"/>
                <w:sz w:val="24"/>
                <w:szCs w:val="24"/>
              </w:rPr>
              <w:t xml:space="preserve">procesā par noziedzīgi iegūtu mantu demokrātiskā tiesiskā valstī ir jānodrošina pušu līdzvērtīgu iespēju principa ievērošana, kas </w:t>
            </w:r>
            <w:proofErr w:type="spellStart"/>
            <w:r w:rsidRPr="007D05C3">
              <w:rPr>
                <w:rFonts w:ascii="Times New Roman" w:hAnsi="Times New Roman" w:cs="Times New Roman"/>
                <w:sz w:val="24"/>
                <w:szCs w:val="24"/>
              </w:rPr>
              <w:t>citstarp</w:t>
            </w:r>
            <w:proofErr w:type="spellEnd"/>
            <w:r w:rsidRPr="007D05C3">
              <w:rPr>
                <w:rFonts w:ascii="Times New Roman" w:hAnsi="Times New Roman" w:cs="Times New Roman"/>
                <w:sz w:val="24"/>
                <w:szCs w:val="24"/>
              </w:rPr>
              <w:t xml:space="preserve"> ir saistīta ar personas tiesībām iepazīties ar procesa par noziedzīgi iegūtu mantu lietas materiāliem. Ņemot vērā, ka </w:t>
            </w:r>
            <w:r>
              <w:rPr>
                <w:rFonts w:ascii="Times New Roman" w:hAnsi="Times New Roman" w:cs="Times New Roman"/>
                <w:sz w:val="24"/>
                <w:szCs w:val="24"/>
              </w:rPr>
              <w:t xml:space="preserve">jaunais </w:t>
            </w:r>
            <w:r w:rsidRPr="007D05C3">
              <w:rPr>
                <w:rFonts w:ascii="Times New Roman" w:hAnsi="Times New Roman" w:cs="Times New Roman"/>
                <w:sz w:val="24"/>
                <w:szCs w:val="24"/>
              </w:rPr>
              <w:t xml:space="preserve">regulējums pamatā paredz visu materiālu izsniegšanu lietas dalībniekiem, ir atzīstams, ka šādā veidā tiks pilnībā īstenotas Satversmes tiesas spriedumā paustās atziņas attiecībā uz nepieciešamību nodrošināt lietas dalībnieku tiesības iepazīties ar lietas materiāliem. </w:t>
            </w:r>
          </w:p>
          <w:p w14:paraId="5447AC46" w14:textId="77777777" w:rsidR="00C9653E" w:rsidRPr="007334AD" w:rsidRDefault="00C9653E" w:rsidP="00C9653E">
            <w:pPr>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lastRenderedPageBreak/>
              <w:t>Vienlaikus, ievērojot, ka minētie lietas materiāli joprojām ir izmeklēšanas noslēpums, personas, saņemo</w:t>
            </w:r>
            <w:r>
              <w:rPr>
                <w:rFonts w:ascii="Times New Roman" w:hAnsi="Times New Roman" w:cs="Times New Roman"/>
                <w:sz w:val="24"/>
                <w:szCs w:val="24"/>
              </w:rPr>
              <w:t>t</w:t>
            </w:r>
            <w:r w:rsidRPr="007334AD">
              <w:rPr>
                <w:rFonts w:ascii="Times New Roman" w:hAnsi="Times New Roman" w:cs="Times New Roman"/>
                <w:sz w:val="24"/>
                <w:szCs w:val="24"/>
              </w:rPr>
              <w:t xml:space="preserve"> minētos materiālus</w:t>
            </w:r>
            <w:r>
              <w:rPr>
                <w:rFonts w:ascii="Times New Roman" w:hAnsi="Times New Roman" w:cs="Times New Roman"/>
                <w:sz w:val="24"/>
                <w:szCs w:val="24"/>
              </w:rPr>
              <w:t>,</w:t>
            </w:r>
            <w:r w:rsidRPr="007334AD">
              <w:rPr>
                <w:rFonts w:ascii="Times New Roman" w:hAnsi="Times New Roman" w:cs="Times New Roman"/>
                <w:sz w:val="24"/>
                <w:szCs w:val="24"/>
              </w:rPr>
              <w:t xml:space="preserve"> tiks brīdinātas par ziņu neizpaušanu saskaņā ar KPL 396. pantu. Ņemot vērā, ka turpmāk personai būs pieejami tie lietas materiāli, kas tiks nodoti tiesai, no minētā panta ir svītrojama tā piektā daļa, kas noteica tiesības pārsūdzēt procesa virzītāja lēmumu par lūgumu iepazīties ar lietas materiāliem. </w:t>
            </w:r>
          </w:p>
          <w:p w14:paraId="2FAC3F9A" w14:textId="77777777" w:rsidR="00C9653E" w:rsidRPr="00C9653E" w:rsidRDefault="00C9653E" w:rsidP="00C9653E">
            <w:pPr>
              <w:spacing w:after="0" w:line="240" w:lineRule="auto"/>
              <w:jc w:val="both"/>
              <w:rPr>
                <w:rFonts w:ascii="Times New Roman" w:hAnsi="Times New Roman" w:cs="Times New Roman"/>
                <w:sz w:val="24"/>
                <w:szCs w:val="24"/>
                <w:shd w:val="clear" w:color="auto" w:fill="FFFFFF"/>
              </w:rPr>
            </w:pPr>
            <w:r w:rsidRPr="00C9653E">
              <w:rPr>
                <w:rFonts w:ascii="Times New Roman" w:hAnsi="Times New Roman" w:cs="Times New Roman"/>
                <w:sz w:val="24"/>
                <w:szCs w:val="24"/>
              </w:rPr>
              <w:t xml:space="preserve">Grozījumi </w:t>
            </w:r>
            <w:r w:rsidRPr="00C9653E">
              <w:rPr>
                <w:rFonts w:ascii="Times New Roman" w:hAnsi="Times New Roman" w:cs="Times New Roman"/>
                <w:b/>
                <w:bCs/>
                <w:sz w:val="24"/>
                <w:szCs w:val="24"/>
              </w:rPr>
              <w:t>KPL 628.pantā un 629. panta otrajā daļā</w:t>
            </w:r>
            <w:r w:rsidRPr="00C9653E">
              <w:rPr>
                <w:rFonts w:ascii="Times New Roman" w:hAnsi="Times New Roman" w:cs="Times New Roman"/>
                <w:sz w:val="24"/>
                <w:szCs w:val="24"/>
              </w:rPr>
              <w:t xml:space="preserve"> ir vērsti uz procesa par noziedzīgi iegūtu mantu izskatīšanas </w:t>
            </w:r>
            <w:proofErr w:type="spellStart"/>
            <w:r w:rsidRPr="00C9653E">
              <w:rPr>
                <w:rFonts w:ascii="Times New Roman" w:hAnsi="Times New Roman" w:cs="Times New Roman"/>
                <w:sz w:val="24"/>
                <w:szCs w:val="24"/>
              </w:rPr>
              <w:t>efektivizēšanu</w:t>
            </w:r>
            <w:proofErr w:type="spellEnd"/>
            <w:r w:rsidRPr="00C9653E">
              <w:rPr>
                <w:rFonts w:ascii="Times New Roman" w:hAnsi="Times New Roman" w:cs="Times New Roman"/>
                <w:sz w:val="24"/>
                <w:szCs w:val="24"/>
              </w:rPr>
              <w:t xml:space="preserve">. Šobrīd minētās normas noteic pienākumu lēmumu </w:t>
            </w:r>
            <w:r w:rsidRPr="00C9653E">
              <w:rPr>
                <w:rFonts w:ascii="Times New Roman" w:hAnsi="Times New Roman" w:cs="Times New Roman"/>
                <w:sz w:val="24"/>
                <w:szCs w:val="24"/>
                <w:shd w:val="clear" w:color="auto" w:fill="FFFFFF"/>
              </w:rPr>
              <w:t>uzsākt procesu par noziedzīgi iegūtu mantu un paziņojumu uz tiesas sēdi nosūtīt aizdomās turētajam vai apsūdzētajam un personai, pie kuras manta tika izņemta vai tai tika uzlikts arests, ja šādas personas attiecīgajā kriminālprocesā ir, vai arī citai personai, kurai ir tiesības uz konkrēto mantu.</w:t>
            </w:r>
            <w:r w:rsidRPr="00C9653E">
              <w:rPr>
                <w:rFonts w:ascii="Times New Roman" w:hAnsi="Times New Roman" w:cs="Times New Roman"/>
                <w:b/>
                <w:bCs/>
                <w:sz w:val="24"/>
                <w:szCs w:val="24"/>
                <w:shd w:val="clear" w:color="auto" w:fill="FFFFFF"/>
              </w:rPr>
              <w:t xml:space="preserve"> </w:t>
            </w:r>
            <w:r w:rsidRPr="00C9653E">
              <w:rPr>
                <w:rFonts w:ascii="Times New Roman" w:hAnsi="Times New Roman" w:cs="Times New Roman"/>
                <w:sz w:val="24"/>
                <w:szCs w:val="24"/>
                <w:shd w:val="clear" w:color="auto" w:fill="FFFFFF"/>
              </w:rPr>
              <w:t>Saskaņā ar 60.</w:t>
            </w:r>
            <w:r w:rsidRPr="00C9653E">
              <w:rPr>
                <w:rFonts w:ascii="Times New Roman" w:hAnsi="Times New Roman" w:cs="Times New Roman"/>
                <w:sz w:val="24"/>
                <w:szCs w:val="24"/>
                <w:shd w:val="clear" w:color="auto" w:fill="FFFFFF"/>
                <w:vertAlign w:val="superscript"/>
              </w:rPr>
              <w:t>2</w:t>
            </w:r>
            <w:r w:rsidRPr="00C9653E">
              <w:rPr>
                <w:rFonts w:ascii="Times New Roman" w:hAnsi="Times New Roman" w:cs="Times New Roman"/>
                <w:sz w:val="24"/>
                <w:szCs w:val="24"/>
                <w:shd w:val="clear" w:color="auto" w:fill="FFFFFF"/>
              </w:rPr>
              <w:t xml:space="preserve"> panta pirmās daļas 1.punktu personai, kurai ir tiesības uz aizstāvību ir tiesības pieaicināt aizstāvi. Savukārt atbilstoši KPL 111.</w:t>
            </w:r>
            <w:r w:rsidRPr="00C9653E">
              <w:rPr>
                <w:rFonts w:ascii="Times New Roman" w:hAnsi="Times New Roman" w:cs="Times New Roman"/>
                <w:sz w:val="24"/>
                <w:szCs w:val="24"/>
                <w:shd w:val="clear" w:color="auto" w:fill="FFFFFF"/>
                <w:vertAlign w:val="superscript"/>
              </w:rPr>
              <w:t>1</w:t>
            </w:r>
            <w:r w:rsidRPr="00C9653E">
              <w:rPr>
                <w:rFonts w:ascii="Times New Roman" w:hAnsi="Times New Roman" w:cs="Times New Roman"/>
                <w:sz w:val="24"/>
                <w:szCs w:val="24"/>
                <w:shd w:val="clear" w:color="auto" w:fill="FFFFFF"/>
              </w:rPr>
              <w:t xml:space="preserve"> panta pirmās daļas 3.punktam aizskartajam mantas īpašniekam personiski vai ar pārstāvja starpniecību ir tiesības juridiskās palīdzības saņemšanai uzaicināt advokātu. Praksē konstatēta atšķirīga prakse attiecībā uz personas informēšanu gadījumos, kad apsūdzētajam vai aizskartajam mantas īpašniekam ir pārstāvis vai aizstāvis, proti, atsevišķos gadījumos paziņojumi tiek sūtīti pašām personām, savukārt citos gadījumos pārstāvim vai aizstāvim. Vienādot praksi ir nepieciešams īpaši gadījumos, kad aizdomās turētais, apsūdzētais vai aizskartās mantas īpašnieks atrodas ārvalstīs, jo tādējādi nav iespējams ievērot KPL 629. panta otrajā daļā paredzēto 10 dienu termiņu tiesas sēdes nozīmēšanai. Ievērojot minēto, nepieciešams veikt grozījumus nosakot, ka gadījumā, ja aizdomās turētajam vai apsūdzētajam un personai, pie kuras manta tika izņemta vai tai tika uzlikts arests, ja šādas personas attiecīgajā kriminālprocesā ir, vai arī citai personai, kurai ir tiesības uz konkrēto mantu konkrētajā procesā ir pārstāvis vai aizstāvis, </w:t>
            </w:r>
            <w:r w:rsidRPr="00C9653E">
              <w:rPr>
                <w:rFonts w:ascii="Times New Roman" w:hAnsi="Times New Roman" w:cs="Times New Roman"/>
                <w:sz w:val="24"/>
                <w:szCs w:val="24"/>
                <w:u w:val="single"/>
                <w:shd w:val="clear" w:color="auto" w:fill="FFFFFF"/>
              </w:rPr>
              <w:t>lēmumi un paziņojumi ir nosūtāmi tikai viņam</w:t>
            </w:r>
            <w:r w:rsidRPr="00C9653E">
              <w:rPr>
                <w:rFonts w:ascii="Times New Roman" w:hAnsi="Times New Roman" w:cs="Times New Roman"/>
                <w:sz w:val="24"/>
                <w:szCs w:val="24"/>
                <w:shd w:val="clear" w:color="auto" w:fill="FFFFFF"/>
              </w:rPr>
              <w:t xml:space="preserve">. Minētais regulējums arī ļauj ietaupīt resursus tulkošanas pakalpojumam, ņemot vērā, ka izsniedzot, piemēram, lēmumu uzsākt procesu par noziedzīgi iegūtu mantu, to nebūs nepieciešams tulkot, ja pārstāvis vai aizstāvis saprot valsts valodu. </w:t>
            </w:r>
          </w:p>
          <w:p w14:paraId="6591076A" w14:textId="4968A2EB" w:rsidR="00C9653E" w:rsidRPr="00C9653E" w:rsidRDefault="00C9653E" w:rsidP="00C9653E">
            <w:pPr>
              <w:spacing w:after="0" w:line="240" w:lineRule="auto"/>
              <w:jc w:val="both"/>
              <w:rPr>
                <w:rFonts w:ascii="Times New Roman" w:eastAsia="Times New Roman" w:hAnsi="Times New Roman" w:cs="Times New Roman"/>
                <w:sz w:val="24"/>
                <w:szCs w:val="24"/>
              </w:rPr>
            </w:pPr>
            <w:r w:rsidRPr="00C9653E">
              <w:rPr>
                <w:rFonts w:ascii="Times New Roman" w:hAnsi="Times New Roman" w:cs="Times New Roman"/>
                <w:sz w:val="24"/>
                <w:szCs w:val="24"/>
                <w:shd w:val="clear" w:color="auto" w:fill="FFFFFF"/>
              </w:rPr>
              <w:t xml:space="preserve">Grozījumi </w:t>
            </w:r>
            <w:r w:rsidRPr="00C9653E">
              <w:rPr>
                <w:rFonts w:ascii="Times New Roman" w:hAnsi="Times New Roman" w:cs="Times New Roman"/>
                <w:b/>
                <w:bCs/>
                <w:sz w:val="24"/>
                <w:szCs w:val="24"/>
                <w:shd w:val="clear" w:color="auto" w:fill="FFFFFF"/>
              </w:rPr>
              <w:t>KPL 628.panta ceturtajā daļā</w:t>
            </w:r>
            <w:r w:rsidRPr="00C9653E">
              <w:rPr>
                <w:rFonts w:ascii="Times New Roman" w:hAnsi="Times New Roman" w:cs="Times New Roman"/>
                <w:sz w:val="24"/>
                <w:szCs w:val="24"/>
                <w:shd w:val="clear" w:color="auto" w:fill="FFFFFF"/>
              </w:rPr>
              <w:t xml:space="preserve"> paredz ierobežot laiku, kādā tiesā ir iesniedzami pierādījumi attiecībā uz mantu. Proti, ar grozījumiem noteikts, ka lietas dalībniekiem ir tiesības pierādījumus iesniegt tikai </w:t>
            </w:r>
            <w:r w:rsidRPr="00C9653E">
              <w:rPr>
                <w:rFonts w:ascii="Times New Roman" w:hAnsi="Times New Roman" w:cs="Times New Roman"/>
                <w:sz w:val="24"/>
                <w:szCs w:val="24"/>
              </w:rPr>
              <w:t>rajona (pilsētas) tiesā. Tādējādi tiks nodrošināts, ka gan rajona (pilsētas) tiesai, gan apgabaltiesa, sūdzības iesniegšanas gadījumā, vērtēs vienus un tos pašus pierādījumus, tādējādi nodrošinot</w:t>
            </w:r>
            <w:r w:rsidR="00DF7102">
              <w:rPr>
                <w:rFonts w:ascii="Times New Roman" w:hAnsi="Times New Roman" w:cs="Times New Roman"/>
                <w:sz w:val="24"/>
                <w:szCs w:val="24"/>
              </w:rPr>
              <w:t xml:space="preserve"> </w:t>
            </w:r>
            <w:r w:rsidRPr="00C9653E">
              <w:rPr>
                <w:rFonts w:ascii="Times New Roman" w:hAnsi="Times New Roman" w:cs="Times New Roman"/>
                <w:sz w:val="24"/>
                <w:szCs w:val="24"/>
              </w:rPr>
              <w:t xml:space="preserve">taisnīgu un objektīvu lietas izskatīšanu. Norādāms, ka atbilstoši KPL </w:t>
            </w:r>
            <w:r w:rsidRPr="00C9653E">
              <w:rPr>
                <w:rFonts w:ascii="Times New Roman" w:hAnsi="Times New Roman" w:cs="Times New Roman"/>
                <w:sz w:val="24"/>
                <w:szCs w:val="24"/>
              </w:rPr>
              <w:lastRenderedPageBreak/>
              <w:t xml:space="preserve">626.panta pirmās daļas 1.punktam </w:t>
            </w:r>
            <w:r w:rsidRPr="00C9653E">
              <w:rPr>
                <w:rFonts w:ascii="Times New Roman" w:hAnsi="Times New Roman" w:cs="Times New Roman"/>
                <w:sz w:val="24"/>
                <w:szCs w:val="24"/>
                <w:shd w:val="clear" w:color="auto" w:fill="FFFFFF"/>
              </w:rPr>
              <w:t xml:space="preserve">izmeklētājam ar uzraugošā prokurora piekrišanu vai prokuroram ir tiesības </w:t>
            </w:r>
            <w:r w:rsidRPr="00C9653E">
              <w:rPr>
                <w:rFonts w:ascii="Times New Roman" w:eastAsia="Times New Roman" w:hAnsi="Times New Roman" w:cs="Times New Roman"/>
                <w:sz w:val="24"/>
                <w:szCs w:val="24"/>
              </w:rPr>
              <w:t xml:space="preserve">izdalīt no krimināllietas materiālus par noziedzīgi iegūtu mantu un uzsākt procesu, </w:t>
            </w:r>
            <w:r w:rsidRPr="00C9653E">
              <w:rPr>
                <w:rFonts w:ascii="Times New Roman" w:eastAsia="Times New Roman" w:hAnsi="Times New Roman" w:cs="Times New Roman"/>
                <w:sz w:val="24"/>
                <w:szCs w:val="24"/>
                <w:u w:val="single"/>
              </w:rPr>
              <w:t>ja pierādījumu kopums dod pamatu uzskatīt</w:t>
            </w:r>
            <w:r w:rsidRPr="00C9653E">
              <w:rPr>
                <w:rFonts w:ascii="Times New Roman" w:eastAsia="Times New Roman" w:hAnsi="Times New Roman" w:cs="Times New Roman"/>
                <w:sz w:val="24"/>
                <w:szCs w:val="24"/>
              </w:rPr>
              <w:t>, ka manta, kura izņemta vai kurai uzlikts arests, ir noziedzīgi iegūta vai saistīta ar noziedzīgu nodarījumu. Tādējādi pierādījumiem krimināllietas materiālos jau ir jābūt savāktiem līdz procesa par noziedzīgi iegūtu mantu izdalīšanai. Savukārt saskaņā ar KPL 356.pantu, j</w:t>
            </w:r>
            <w:r w:rsidRPr="00C9653E">
              <w:rPr>
                <w:rFonts w:ascii="Times New Roman" w:hAnsi="Times New Roman" w:cs="Times New Roman"/>
                <w:sz w:val="24"/>
                <w:szCs w:val="24"/>
                <w:shd w:val="clear" w:color="auto" w:fill="FFFFFF"/>
              </w:rPr>
              <w:t xml:space="preserve">a tiek izteikts pieņēmums, ka manta ir noziedzīgi iegūta vai saistīta ar noziedzīgu nodarījumu, procesa virzītājs paziņo personai, ka šī persona 45 dienu laikā no paziņošanas brīža var iesniegt ziņas par attiecīgās mantas izcelsmes likumību, kā arī informē personu par šādu ziņu neiesniegšanas sekām. Turklāt personai ir tiesības iesniegt pierādījumus par mantas izcelsmi </w:t>
            </w:r>
            <w:proofErr w:type="spellStart"/>
            <w:r w:rsidRPr="00C9653E">
              <w:rPr>
                <w:rFonts w:ascii="Times New Roman" w:hAnsi="Times New Roman" w:cs="Times New Roman"/>
                <w:sz w:val="24"/>
                <w:szCs w:val="24"/>
                <w:shd w:val="clear" w:color="auto" w:fill="FFFFFF"/>
              </w:rPr>
              <w:t>pirmstiesas</w:t>
            </w:r>
            <w:proofErr w:type="spellEnd"/>
            <w:r w:rsidRPr="00C9653E">
              <w:rPr>
                <w:rFonts w:ascii="Times New Roman" w:hAnsi="Times New Roman" w:cs="Times New Roman"/>
                <w:sz w:val="24"/>
                <w:szCs w:val="24"/>
                <w:shd w:val="clear" w:color="auto" w:fill="FFFFFF"/>
              </w:rPr>
              <w:t xml:space="preserve"> procesā arī pēc minēto 45 dienu termiņa notecējuma, proti, tik ilgi, kamēr mantai ir spēkā esošs arests. Tāpat tiek saglabātas tiesības pierādījumus iesniegt pēc procesa nodošanas tiesai līdz rajona (pilsētas) tiesa pieņem vienu no KPL 630. pantā noteiktajiem lēmumiem. Tādējādi arī aizskartajam mantas īpašniekam ir iespējams savlaicīgi iesniegt pierādījumus par mantas izcelsmi līdz lietas izskatīšanai apgabaltiesā. Ievērojot minēto, un, lai nodrošinātu tiesības uz taisnīgu tiesu, tostarp, efektīvu lēmuma par noziedzīgi iegūtu mantu pārsūdzību, ir nepieciešams ierobežot jaunu pierādījumu iesniegšanu, paredzot to tikai rajona (pilsētas) tiesā. </w:t>
            </w:r>
          </w:p>
          <w:p w14:paraId="45CECCB9" w14:textId="77777777" w:rsidR="00C9653E" w:rsidRPr="00C9653E" w:rsidRDefault="00C9653E" w:rsidP="00C9653E">
            <w:pPr>
              <w:spacing w:after="0" w:line="240" w:lineRule="auto"/>
              <w:jc w:val="both"/>
              <w:rPr>
                <w:rFonts w:ascii="Times New Roman" w:eastAsia="Times New Roman" w:hAnsi="Times New Roman" w:cs="Times New Roman"/>
                <w:sz w:val="24"/>
                <w:szCs w:val="24"/>
                <w:bdr w:val="none" w:sz="0" w:space="0" w:color="auto" w:frame="1"/>
              </w:rPr>
            </w:pPr>
            <w:r w:rsidRPr="00C9653E">
              <w:rPr>
                <w:rFonts w:ascii="Times New Roman" w:hAnsi="Times New Roman" w:cs="Times New Roman"/>
                <w:sz w:val="24"/>
                <w:szCs w:val="24"/>
                <w:shd w:val="clear" w:color="auto" w:fill="FFFFFF"/>
              </w:rPr>
              <w:t xml:space="preserve">Grozījums </w:t>
            </w:r>
            <w:r w:rsidRPr="00C9653E">
              <w:rPr>
                <w:rFonts w:ascii="Times New Roman" w:hAnsi="Times New Roman" w:cs="Times New Roman"/>
                <w:b/>
                <w:bCs/>
                <w:sz w:val="24"/>
                <w:szCs w:val="24"/>
                <w:shd w:val="clear" w:color="auto" w:fill="FFFFFF"/>
              </w:rPr>
              <w:t xml:space="preserve">KPL 630. panta ceturtajā daļā </w:t>
            </w:r>
            <w:r w:rsidRPr="00C9653E">
              <w:rPr>
                <w:rFonts w:ascii="Times New Roman" w:hAnsi="Times New Roman" w:cs="Times New Roman"/>
                <w:sz w:val="24"/>
                <w:szCs w:val="24"/>
                <w:shd w:val="clear" w:color="auto" w:fill="FFFFFF"/>
              </w:rPr>
              <w:t xml:space="preserve">paredz papildināt regulējumu ar vēl vienu procesa par noziedzīgi iegūtu mantu izbeigšanas pamatu. Proti, atbilstoši KPL 626. panta pirmajai daļai procesu par noziedzīgi iegūtu mantu izdala no krimināllietas tikai gadījumos, ja nepieciešams nodrošināt </w:t>
            </w:r>
            <w:r w:rsidRPr="00C9653E">
              <w:rPr>
                <w:rFonts w:ascii="Times New Roman" w:hAnsi="Times New Roman" w:cs="Times New Roman"/>
                <w:sz w:val="24"/>
                <w:szCs w:val="24"/>
              </w:rPr>
              <w:t xml:space="preserve">kriminālprocesā radušos mantisko jautājumu savlaicīgu atrisināšanu un procesa ekonomijas intereses, proti, gadījumos, kad krimināllieta vēl atrodas izmeklēšanas vai kriminālvajāšanas stadijā un to nav iespējams nekavējoties virzīt uz tiesu, bet ir nepieciešams risināt mantiskos jautājumus pēc iespējas ātrāk, piemēram, ja tuvojas aresta uzlikšanas termiņa iztecējums. Tomēr var būt situācijas, kad krimināllieta tiek nodota tiesa, bet process par noziedzīgi iegūtu mantu vēl nav izskatīts. Ņemot vērā procesa par noziedzīgi iegūtu mantu mērķi, nav pamatoti turpināt atsevišķi izskatīt šo jautājumu, jo tādā gadījumā mantiskie jautājumi ir risināmi ar galīgo tiesas nolēmumu krimināllietā. Tādējādi nepieciešams noteikt, ka gadījumā, ja krimināllieta, no kuras izdalīti materiāli nodota tiesai, tiesa </w:t>
            </w:r>
            <w:r w:rsidRPr="00C9653E">
              <w:rPr>
                <w:rFonts w:ascii="Times New Roman" w:eastAsia="Times New Roman" w:hAnsi="Times New Roman" w:cs="Times New Roman"/>
                <w:sz w:val="24"/>
                <w:szCs w:val="24"/>
                <w:bdr w:val="none" w:sz="0" w:space="0" w:color="auto" w:frame="1"/>
              </w:rPr>
              <w:t xml:space="preserve">pieņem lēmumu izbeigt procesu par noziedzīgi iegūtu mantu. Vienlaikus norādāms, ka visi uzliktie aresti mantai turpinās krimināllietā no kuras izdalīti materiāli un jaunu lēmumu par aresta uzlikšanu mantai nav jāpieņem. </w:t>
            </w:r>
          </w:p>
          <w:p w14:paraId="2FB1E45C" w14:textId="77777777" w:rsidR="00C9653E" w:rsidRPr="00C9653E" w:rsidRDefault="00C9653E" w:rsidP="00C9653E">
            <w:pPr>
              <w:spacing w:after="0" w:line="240" w:lineRule="auto"/>
              <w:jc w:val="both"/>
              <w:rPr>
                <w:rFonts w:ascii="Times New Roman" w:eastAsia="Times New Roman" w:hAnsi="Times New Roman" w:cs="Times New Roman"/>
                <w:sz w:val="24"/>
                <w:szCs w:val="24"/>
                <w:bdr w:val="none" w:sz="0" w:space="0" w:color="auto" w:frame="1"/>
              </w:rPr>
            </w:pPr>
            <w:r w:rsidRPr="00C9653E">
              <w:rPr>
                <w:rFonts w:ascii="Times New Roman" w:eastAsia="Times New Roman" w:hAnsi="Times New Roman" w:cs="Times New Roman"/>
                <w:sz w:val="24"/>
                <w:szCs w:val="24"/>
                <w:bdr w:val="none" w:sz="0" w:space="0" w:color="auto" w:frame="1"/>
              </w:rPr>
              <w:lastRenderedPageBreak/>
              <w:t xml:space="preserve">Grozījums </w:t>
            </w:r>
            <w:r w:rsidRPr="00C9653E">
              <w:rPr>
                <w:rFonts w:ascii="Times New Roman" w:eastAsia="Times New Roman" w:hAnsi="Times New Roman" w:cs="Times New Roman"/>
                <w:b/>
                <w:bCs/>
                <w:sz w:val="24"/>
                <w:szCs w:val="24"/>
                <w:bdr w:val="none" w:sz="0" w:space="0" w:color="auto" w:frame="1"/>
              </w:rPr>
              <w:t>KPL 631. panta ceturtajā daļā</w:t>
            </w:r>
            <w:r w:rsidRPr="00C9653E">
              <w:rPr>
                <w:rFonts w:ascii="Times New Roman" w:eastAsia="Times New Roman" w:hAnsi="Times New Roman" w:cs="Times New Roman"/>
                <w:sz w:val="24"/>
                <w:szCs w:val="24"/>
                <w:bdr w:val="none" w:sz="0" w:space="0" w:color="auto" w:frame="1"/>
              </w:rPr>
              <w:t xml:space="preserve"> paredz noteikt vēl vienu apgabaltiesas rīcību, izskatot sūdzību vai protestu. Proti, gadījumā, ja rajona (pilsētas) tiesa, pieņemot lēmumu par noziedzīgi iegūtu mantu vai lietas izbeigšanu, nav ievērojusi visus KPL 630. panta pirmajā un otrajā daļā minētos nosacījumus, apgabaltiesa var atcelt tiesas lēmumu un nosūtīt materiālu jaunai izskatīšanai. Tādējādi tiek nodrošinātas personas tiesības jautājumu pēc būtības izskatīt vismaz divās instancēs, nodrošinot taisnīgu procesu. Piemēram, gadījumā, ja rajona (pilsētas) tiesa, pieņemot lēmumu, nav izvērtējusi pierādījumus, šobrīd apgabaltiesa var pieņemt tikai divus lēmumus – atzīt mantu par noziedzīgi iegūtu vai izbeigt procesu - tādējādi veidojas situācija, kad lieta pēc būtības tiek vērtēta tikai vienā instancē. Lai minēto situāciju novērstu, ir nepieciešams veikt grozījumus, nosakot apgabaltiesai vēl vienu rīcību, izskatot sūdzību vai protestu, tādējādi nodrošinot taisnīgu procesu.</w:t>
            </w:r>
          </w:p>
          <w:p w14:paraId="24638FA6" w14:textId="77777777" w:rsidR="00227B29" w:rsidRDefault="00227B29" w:rsidP="00B02AB4">
            <w:pPr>
              <w:shd w:val="clear" w:color="auto" w:fill="FFFFFF"/>
              <w:spacing w:after="0" w:line="240" w:lineRule="auto"/>
              <w:jc w:val="both"/>
              <w:rPr>
                <w:rFonts w:ascii="Times New Roman" w:hAnsi="Times New Roman" w:cs="Times New Roman"/>
                <w:sz w:val="24"/>
                <w:szCs w:val="24"/>
                <w:shd w:val="clear" w:color="auto" w:fill="FFFFFF"/>
              </w:rPr>
            </w:pPr>
          </w:p>
          <w:p w14:paraId="4F2C7B81" w14:textId="77777777" w:rsidR="00F05293" w:rsidRDefault="00F05293" w:rsidP="00B02AB4">
            <w:pPr>
              <w:shd w:val="clear" w:color="auto" w:fill="FFFFFF"/>
              <w:spacing w:after="0" w:line="240" w:lineRule="auto"/>
              <w:jc w:val="both"/>
              <w:rPr>
                <w:rFonts w:ascii="Times New Roman" w:hAnsi="Times New Roman" w:cs="Times New Roman"/>
                <w:b/>
                <w:bCs/>
                <w:sz w:val="24"/>
                <w:szCs w:val="24"/>
                <w:shd w:val="clear" w:color="auto" w:fill="FFFFFF"/>
              </w:rPr>
            </w:pPr>
            <w:r w:rsidRPr="00F05293">
              <w:rPr>
                <w:rFonts w:ascii="Times New Roman" w:hAnsi="Times New Roman" w:cs="Times New Roman"/>
                <w:b/>
                <w:bCs/>
                <w:sz w:val="24"/>
                <w:szCs w:val="24"/>
                <w:shd w:val="clear" w:color="auto" w:fill="FFFFFF"/>
              </w:rPr>
              <w:t>Citi grozījumi.</w:t>
            </w:r>
          </w:p>
          <w:p w14:paraId="5E5741AF" w14:textId="574609DC" w:rsidR="00F05293" w:rsidRPr="000C54CD" w:rsidRDefault="00F05293" w:rsidP="00F05293">
            <w:pPr>
              <w:spacing w:after="0" w:line="240" w:lineRule="auto"/>
              <w:jc w:val="both"/>
              <w:rPr>
                <w:rFonts w:ascii="Times New Roman" w:eastAsia="Times New Roman" w:hAnsi="Times New Roman" w:cs="Times New Roman"/>
                <w:sz w:val="24"/>
                <w:szCs w:val="24"/>
              </w:rPr>
            </w:pPr>
            <w:r w:rsidRPr="00DB104E">
              <w:rPr>
                <w:rFonts w:ascii="Times New Roman" w:hAnsi="Times New Roman" w:cs="Times New Roman"/>
                <w:sz w:val="24"/>
                <w:szCs w:val="24"/>
              </w:rPr>
              <w:t xml:space="preserve">Grozījums </w:t>
            </w:r>
            <w:r w:rsidRPr="00F05293">
              <w:rPr>
                <w:rFonts w:ascii="Times New Roman" w:hAnsi="Times New Roman" w:cs="Times New Roman"/>
                <w:b/>
                <w:bCs/>
                <w:sz w:val="24"/>
                <w:szCs w:val="24"/>
              </w:rPr>
              <w:t>KPL 93.</w:t>
            </w:r>
            <w:r>
              <w:rPr>
                <w:rFonts w:ascii="Times New Roman" w:hAnsi="Times New Roman" w:cs="Times New Roman"/>
                <w:b/>
                <w:bCs/>
                <w:sz w:val="24"/>
                <w:szCs w:val="24"/>
              </w:rPr>
              <w:t> </w:t>
            </w:r>
            <w:r w:rsidRPr="00F05293">
              <w:rPr>
                <w:rFonts w:ascii="Times New Roman" w:hAnsi="Times New Roman" w:cs="Times New Roman"/>
                <w:b/>
                <w:bCs/>
                <w:sz w:val="24"/>
                <w:szCs w:val="24"/>
              </w:rPr>
              <w:t>pantā</w:t>
            </w:r>
            <w:r w:rsidRPr="00DB104E">
              <w:rPr>
                <w:rFonts w:ascii="Times New Roman" w:hAnsi="Times New Roman" w:cs="Times New Roman"/>
                <w:sz w:val="24"/>
                <w:szCs w:val="24"/>
              </w:rPr>
              <w:t xml:space="preserve"> ir redakcionāla rakstura, kas paredz vienveidot KPL un KL lietoto terminoloģiju, precizējot, ka regulējums attiecās arī</w:t>
            </w:r>
            <w:r w:rsidR="00AB2173">
              <w:rPr>
                <w:rFonts w:ascii="Times New Roman" w:hAnsi="Times New Roman" w:cs="Times New Roman"/>
                <w:sz w:val="24"/>
                <w:szCs w:val="24"/>
              </w:rPr>
              <w:t xml:space="preserve"> uz</w:t>
            </w:r>
            <w:r w:rsidRPr="00DB104E">
              <w:rPr>
                <w:rFonts w:ascii="Times New Roman" w:hAnsi="Times New Roman" w:cs="Times New Roman"/>
                <w:sz w:val="24"/>
                <w:szCs w:val="24"/>
              </w:rPr>
              <w:t xml:space="preserve"> gadījumiem, kad </w:t>
            </w:r>
            <w:r w:rsidRPr="00DB104E">
              <w:rPr>
                <w:rFonts w:ascii="Times New Roman" w:hAnsi="Times New Roman" w:cs="Times New Roman"/>
                <w:sz w:val="24"/>
                <w:szCs w:val="24"/>
                <w:shd w:val="clear" w:color="auto" w:fill="FFFFFF"/>
              </w:rPr>
              <w:t xml:space="preserve">process par piespiedu ietekmēšanas līdzekļa piemērošanu uzsākts juridiskajai personai sakarā ar </w:t>
            </w:r>
            <w:r w:rsidRPr="00DB104E">
              <w:rPr>
                <w:rFonts w:ascii="Times New Roman" w:eastAsia="Calibri" w:hAnsi="Times New Roman" w:cs="Times New Roman"/>
                <w:sz w:val="24"/>
                <w:szCs w:val="24"/>
              </w:rPr>
              <w:t>šīs personas labā vai tās nepienācīgas pārraudzības vai kontroles rezultātā</w:t>
            </w:r>
            <w:r w:rsidRPr="00DB104E">
              <w:rPr>
                <w:rFonts w:ascii="Times New Roman" w:hAnsi="Times New Roman" w:cs="Times New Roman"/>
                <w:sz w:val="24"/>
                <w:szCs w:val="24"/>
                <w:shd w:val="clear" w:color="auto" w:fill="FFFFFF"/>
              </w:rPr>
              <w:t xml:space="preserve"> izdarītu fiziskās personas noziedzīgu</w:t>
            </w:r>
            <w:r>
              <w:rPr>
                <w:rFonts w:ascii="Times New Roman" w:hAnsi="Times New Roman" w:cs="Times New Roman"/>
                <w:sz w:val="24"/>
                <w:szCs w:val="24"/>
                <w:shd w:val="clear" w:color="auto" w:fill="FFFFFF"/>
              </w:rPr>
              <w:t xml:space="preserve"> </w:t>
            </w:r>
            <w:r w:rsidRPr="00DB104E">
              <w:rPr>
                <w:rFonts w:ascii="Times New Roman" w:hAnsi="Times New Roman" w:cs="Times New Roman"/>
                <w:sz w:val="24"/>
                <w:szCs w:val="24"/>
                <w:shd w:val="clear" w:color="auto" w:fill="FFFFFF"/>
              </w:rPr>
              <w:t xml:space="preserve">nodarījumu. Norādāms, ka atbilstoši KL </w:t>
            </w:r>
            <w:r w:rsidRPr="00DB104E">
              <w:rPr>
                <w:rFonts w:ascii="Times New Roman" w:eastAsia="Times New Roman" w:hAnsi="Times New Roman" w:cs="Times New Roman"/>
                <w:sz w:val="24"/>
                <w:szCs w:val="24"/>
              </w:rPr>
              <w:t>70.</w:t>
            </w:r>
            <w:r w:rsidRPr="00DB104E">
              <w:rPr>
                <w:rFonts w:ascii="Times New Roman" w:eastAsia="Times New Roman" w:hAnsi="Times New Roman" w:cs="Times New Roman"/>
                <w:sz w:val="24"/>
                <w:szCs w:val="24"/>
                <w:vertAlign w:val="superscript"/>
              </w:rPr>
              <w:t>1</w:t>
            </w:r>
            <w:r w:rsidRPr="00DB104E">
              <w:rPr>
                <w:rFonts w:ascii="Times New Roman" w:eastAsia="Times New Roman" w:hAnsi="Times New Roman" w:cs="Times New Roman"/>
                <w:sz w:val="24"/>
                <w:szCs w:val="24"/>
              </w:rPr>
              <w:t xml:space="preserve"> pantam par šā likuma sevišķajā daļā paredzētu noziedzīgu nodarījumu privāto tiesību juridiskajai personai, tai skaitā valsts vai pašvaldību kapitālsabiedrībai, kā arī personālsabiedrībai, tiesa vai likumā paredzētajos gadījumos prokurors var piemērot piespiedu ietekmēšanas līdzekli, ja nodarījumu juridiskās personas </w:t>
            </w:r>
            <w:r w:rsidRPr="000C54CD">
              <w:rPr>
                <w:rFonts w:ascii="Times New Roman" w:eastAsia="Times New Roman" w:hAnsi="Times New Roman" w:cs="Times New Roman"/>
                <w:sz w:val="24"/>
                <w:szCs w:val="24"/>
              </w:rPr>
              <w:t xml:space="preserve">interesēs, </w:t>
            </w:r>
            <w:r w:rsidRPr="000C54CD">
              <w:rPr>
                <w:rFonts w:ascii="Times New Roman" w:eastAsia="Times New Roman" w:hAnsi="Times New Roman" w:cs="Times New Roman"/>
                <w:sz w:val="24"/>
                <w:szCs w:val="24"/>
                <w:u w:val="single"/>
              </w:rPr>
              <w:t>šīs personas labā vai tās nepienācīgas pārraudzības vai kontroles rezultātā</w:t>
            </w:r>
            <w:r w:rsidRPr="000C54CD">
              <w:rPr>
                <w:rFonts w:ascii="Times New Roman" w:eastAsia="Times New Roman" w:hAnsi="Times New Roman" w:cs="Times New Roman"/>
                <w:sz w:val="24"/>
                <w:szCs w:val="24"/>
              </w:rPr>
              <w:t xml:space="preserve"> izdarījusi fiziskā persona.</w:t>
            </w:r>
          </w:p>
          <w:p w14:paraId="0B164091" w14:textId="28B8CB15" w:rsidR="00EA64E4" w:rsidRPr="000C54CD" w:rsidRDefault="00EA64E4" w:rsidP="00EA64E4">
            <w:pPr>
              <w:shd w:val="clear" w:color="auto" w:fill="FFFFFF"/>
              <w:spacing w:after="0" w:line="240" w:lineRule="auto"/>
              <w:jc w:val="both"/>
              <w:rPr>
                <w:rFonts w:ascii="Calibri" w:eastAsia="Times New Roman" w:hAnsi="Calibri" w:cs="Calibri"/>
                <w:color w:val="201F1E"/>
              </w:rPr>
            </w:pPr>
            <w:bookmarkStart w:id="3" w:name="_Hlk63764171"/>
            <w:r w:rsidRPr="000C54CD">
              <w:rPr>
                <w:rFonts w:ascii="Times New Roman" w:eastAsia="Times New Roman" w:hAnsi="Times New Roman" w:cs="Times New Roman"/>
                <w:b/>
                <w:bCs/>
                <w:color w:val="201F1E"/>
                <w:sz w:val="24"/>
                <w:szCs w:val="24"/>
                <w:bdr w:val="none" w:sz="0" w:space="0" w:color="auto" w:frame="1"/>
              </w:rPr>
              <w:t>KPL 219. panta</w:t>
            </w:r>
            <w:r w:rsidRPr="000C54CD">
              <w:rPr>
                <w:rFonts w:ascii="Times New Roman" w:eastAsia="Times New Roman" w:hAnsi="Times New Roman" w:cs="Times New Roman"/>
                <w:color w:val="201F1E"/>
                <w:sz w:val="24"/>
                <w:szCs w:val="24"/>
                <w:bdr w:val="none" w:sz="0" w:space="0" w:color="auto" w:frame="1"/>
              </w:rPr>
              <w:t> "Automatizētās datu apstrādes sistēmā esošo datu kontrole" pirmā daļa paredz, ka automatizētās datu apstrādes sistēmas (turpmāk - ADAS) vai tās daļas, tajā uzkrāto datu, datu vides pārmeklēšanu un piekļuvi tai, kā arī izņemšanu bez šīs sistēmas vai datu īpašnieka, valdītāja vai turētāja ziņas kriminālprocesā veic, pamatojoties uz izmeklēšanas tiesneša lēmumu, ja ir pamats uzskatīt, ka konkrētajā sistēmā esošā informācija var saturēt ziņas par pierādāmajos apstākļos ietilpstošajiem faktiem. </w:t>
            </w:r>
          </w:p>
          <w:p w14:paraId="72B835D3" w14:textId="70F6A58B" w:rsidR="00EA64E4" w:rsidRPr="000C54CD" w:rsidRDefault="00EA64E4" w:rsidP="00EA64E4">
            <w:pPr>
              <w:shd w:val="clear" w:color="auto" w:fill="FFFFFF"/>
              <w:spacing w:after="0" w:line="240" w:lineRule="auto"/>
              <w:jc w:val="both"/>
              <w:rPr>
                <w:rFonts w:ascii="Calibri" w:eastAsia="Times New Roman" w:hAnsi="Calibri" w:cs="Calibri"/>
                <w:color w:val="201F1E"/>
              </w:rPr>
            </w:pPr>
            <w:r w:rsidRPr="000C54CD">
              <w:rPr>
                <w:rFonts w:ascii="Times New Roman" w:eastAsia="Times New Roman" w:hAnsi="Times New Roman" w:cs="Times New Roman"/>
                <w:color w:val="201F1E"/>
                <w:sz w:val="24"/>
                <w:szCs w:val="24"/>
                <w:bdr w:val="none" w:sz="0" w:space="0" w:color="auto" w:frame="1"/>
              </w:rPr>
              <w:t>ADAS esošo datu kontrole ir speciāla izmeklēšanas darbība ar kuras palīdzību procesa virzītājam ir iespējams veikt ADAS esošo datu pārmeklēšanu, kas pēc būtības līdzinās kratīšanai, tikai atšķiras ar specifisko vidi, kādā darbība norisinās. </w:t>
            </w:r>
          </w:p>
          <w:p w14:paraId="3249D7F8" w14:textId="60DDD049" w:rsidR="00EA64E4" w:rsidRPr="000C54CD" w:rsidRDefault="00EA64E4" w:rsidP="00EA64E4">
            <w:pPr>
              <w:shd w:val="clear" w:color="auto" w:fill="FFFFFF"/>
              <w:spacing w:after="0" w:line="240" w:lineRule="auto"/>
              <w:jc w:val="both"/>
              <w:rPr>
                <w:rFonts w:ascii="Calibri" w:eastAsia="Times New Roman" w:hAnsi="Calibri" w:cs="Calibri"/>
                <w:color w:val="201F1E"/>
              </w:rPr>
            </w:pPr>
            <w:r w:rsidRPr="000C54CD">
              <w:rPr>
                <w:rFonts w:ascii="Times New Roman" w:eastAsia="Times New Roman" w:hAnsi="Times New Roman" w:cs="Times New Roman"/>
                <w:color w:val="201F1E"/>
                <w:sz w:val="24"/>
                <w:szCs w:val="24"/>
                <w:bdr w:val="none" w:sz="0" w:space="0" w:color="auto" w:frame="1"/>
              </w:rPr>
              <w:lastRenderedPageBreak/>
              <w:t>KPL 219.panta otrā daļa paredz iespēju nepieprasīt jaunu izmeklēšanas tiesneša lēmumu datu kontrolei gadījumos, kad jau ir saņemts izmeklēšanas tiesneša lēmums datu kontrolei vienā automatizēto datu apstrādes sistēmā, bet tiek secināts, ka šī sistēma kalpo kā autorizācijas vietne un persona tajā autorizējoties tiek pāradresēta uz citu sistēmu, kur tā veic darbības ar datiem (piemēram, virtuālo serveri), tomēr šī norma šobrīd vairs nedarbojas efektīvi, jo ir attiecināma tikai uz Latvijas teritorijā esošu ADAS. </w:t>
            </w:r>
          </w:p>
          <w:p w14:paraId="4E2CCEE8" w14:textId="2B0FAF0E" w:rsidR="00EA64E4" w:rsidRPr="000C54CD" w:rsidRDefault="00EA64E4" w:rsidP="00EA64E4">
            <w:pPr>
              <w:shd w:val="clear" w:color="auto" w:fill="FFFFFF"/>
              <w:spacing w:after="0" w:line="240" w:lineRule="auto"/>
              <w:jc w:val="both"/>
              <w:rPr>
                <w:rFonts w:ascii="Calibri" w:eastAsia="Times New Roman" w:hAnsi="Calibri" w:cs="Calibri"/>
                <w:color w:val="201F1E"/>
              </w:rPr>
            </w:pPr>
            <w:r w:rsidRPr="000C54CD">
              <w:rPr>
                <w:rFonts w:ascii="Times New Roman" w:eastAsia="Times New Roman" w:hAnsi="Times New Roman" w:cs="Times New Roman"/>
                <w:color w:val="201F1E"/>
                <w:sz w:val="24"/>
                <w:szCs w:val="24"/>
                <w:bdr w:val="none" w:sz="0" w:space="0" w:color="auto" w:frame="1"/>
              </w:rPr>
              <w:t>KPL 219. pants izstrādāts 2005. gadā ņemot vērā tā laika tehnoloģijas, bet kopš 2005. gada ir notikusi ievērojama tehnoloģiskā attīstība un bieži rodas situācijas, kad dati tiek glabāti ADAS, kas atrodas ne tikai ārpus Latvijas jurisdikcijas, bet ārpus jebkuras valsts jurisdikcijas. ADAS vai tās daļa vairs nav saistāma ar konkrētas valsts teritoriju, tā var atrasties jebkurā valstī, bieži vien neidentificētā. Vēl vairāk, izmeklēšanas laikā praktiski nav iespējams identificēt un pierādīt, ka noteiktā ADAS daļa, kurai var piekļūt autorizēti, atrodas Latvijas vai citas valsts teritorijā. </w:t>
            </w:r>
          </w:p>
          <w:p w14:paraId="3377820C" w14:textId="36205B6F" w:rsidR="00EA64E4" w:rsidRPr="000C54CD" w:rsidRDefault="00EA64E4" w:rsidP="00EA64E4">
            <w:pPr>
              <w:shd w:val="clear" w:color="auto" w:fill="FFFFFF"/>
              <w:spacing w:after="0" w:line="240" w:lineRule="auto"/>
              <w:jc w:val="both"/>
              <w:rPr>
                <w:rFonts w:ascii="Calibri" w:eastAsia="Times New Roman" w:hAnsi="Calibri" w:cs="Calibri"/>
                <w:color w:val="201F1E"/>
              </w:rPr>
            </w:pPr>
            <w:r w:rsidRPr="000C54CD">
              <w:rPr>
                <w:rFonts w:ascii="Times New Roman" w:eastAsia="Times New Roman" w:hAnsi="Times New Roman" w:cs="Times New Roman"/>
                <w:color w:val="201F1E"/>
                <w:sz w:val="24"/>
                <w:szCs w:val="24"/>
                <w:bdr w:val="none" w:sz="0" w:space="0" w:color="auto" w:frame="1"/>
              </w:rPr>
              <w:t>Tieslietu ministrija aptaujāja Eiropas Savienības dalībvalstis, lai noskaidrotu, kā tajās tiek regulēta to datu iegūšana, kas tiek glabāti ārpus tās teritorijas esošā ADAS. Daudzas valstis norādīja, ka tām ir paredzēta iespēja piekļūt datiem, kas atrodas ADAS, kuru atrašanās vieta nav zināma vai, ja tās atrodas ārpus jebkuras valsts jurisdikcijas (Spānija, Rumānija, Portugāle, Nīderlande, Igaunija), dažas valstis norādīja, ka šāda iespēja to likumos nav paredzēta (Zviedrija, Vācija, Bulgārija), atsevišķas valstis arī norādīja, ka šis jautājums to likumos nav regulēts (Polija). </w:t>
            </w:r>
          </w:p>
          <w:p w14:paraId="3D417D0E" w14:textId="189BC635" w:rsidR="00EA64E4" w:rsidRPr="000C54CD" w:rsidRDefault="00EA64E4" w:rsidP="00EA64E4">
            <w:pPr>
              <w:shd w:val="clear" w:color="auto" w:fill="FFFFFF"/>
              <w:spacing w:after="0" w:line="240" w:lineRule="auto"/>
              <w:jc w:val="both"/>
              <w:rPr>
                <w:rFonts w:ascii="Calibri" w:eastAsia="Times New Roman" w:hAnsi="Calibri" w:cs="Calibri"/>
                <w:color w:val="201F1E"/>
              </w:rPr>
            </w:pPr>
            <w:r w:rsidRPr="000C54CD">
              <w:rPr>
                <w:rFonts w:ascii="Times New Roman" w:eastAsia="Times New Roman" w:hAnsi="Times New Roman" w:cs="Times New Roman"/>
                <w:color w:val="201F1E"/>
                <w:sz w:val="24"/>
                <w:szCs w:val="24"/>
                <w:bdr w:val="none" w:sz="0" w:space="0" w:color="auto" w:frame="1"/>
              </w:rPr>
              <w:t>Ņemot vērā iepriekš minēto KPL pastāvīgā darba grupa ir izstrādājusi grozījumus, kas paredz papildināt KPL 219. pantu ar jaunu daļu, kas nosaka, ka, ja dati tiek uzglabāti informācijas sistēmā, kura atrodas ārpus jebkuras valsts jurisdikcijas, kurai var piekļūt autorizēti, izmantojot izmeklēšanas tiesneša lēmumā minēto sistēmu, jauns lēmums nav nepieciešams, kā arī, ja kriminālprocesa laikā tiek noskaidrota informācijas sistēmas jurisdikcija, procesa virzītājs sazinās ar valsti, kuras jurisdikcijā atrodas informācijas sistēma KPL 83. un 83.</w:t>
            </w:r>
            <w:r w:rsidRPr="000C54CD">
              <w:rPr>
                <w:rFonts w:ascii="Times New Roman" w:eastAsia="Times New Roman" w:hAnsi="Times New Roman" w:cs="Times New Roman"/>
                <w:color w:val="201F1E"/>
                <w:sz w:val="24"/>
                <w:szCs w:val="24"/>
                <w:bdr w:val="none" w:sz="0" w:space="0" w:color="auto" w:frame="1"/>
                <w:vertAlign w:val="superscript"/>
              </w:rPr>
              <w:t>1</w:t>
            </w:r>
            <w:r w:rsidRPr="000C54CD">
              <w:rPr>
                <w:rFonts w:ascii="Times New Roman" w:eastAsia="Times New Roman" w:hAnsi="Times New Roman" w:cs="Times New Roman"/>
                <w:color w:val="201F1E"/>
                <w:sz w:val="24"/>
                <w:szCs w:val="24"/>
                <w:bdr w:val="none" w:sz="0" w:space="0" w:color="auto" w:frame="1"/>
              </w:rPr>
              <w:t> nodaļā noteiktajā kārtībā. </w:t>
            </w:r>
          </w:p>
          <w:p w14:paraId="5A69D9D9" w14:textId="2B4C491E" w:rsidR="00EA64E4" w:rsidRPr="000C54CD" w:rsidRDefault="00EA64E4" w:rsidP="00EA64E4">
            <w:pPr>
              <w:shd w:val="clear" w:color="auto" w:fill="FFFFFF"/>
              <w:spacing w:after="0" w:line="240" w:lineRule="auto"/>
              <w:jc w:val="both"/>
              <w:rPr>
                <w:rFonts w:ascii="Calibri" w:eastAsia="Times New Roman" w:hAnsi="Calibri" w:cs="Calibri"/>
                <w:color w:val="201F1E"/>
              </w:rPr>
            </w:pPr>
            <w:bookmarkStart w:id="4" w:name="_Hlk78358924"/>
            <w:r w:rsidRPr="000C54CD">
              <w:rPr>
                <w:rFonts w:ascii="Times New Roman" w:eastAsia="Times New Roman" w:hAnsi="Times New Roman" w:cs="Times New Roman"/>
                <w:color w:val="201F1E"/>
                <w:sz w:val="24"/>
                <w:szCs w:val="24"/>
                <w:bdr w:val="none" w:sz="0" w:space="0" w:color="auto" w:frame="1"/>
              </w:rPr>
              <w:t>Minētie grozījumi ļaus ar izmeklēšanas tiesneša lēmumu piekļūt datiem, kas atrodas ADAS, kas atrodas ārpus jebkuras valsts jurisdikcijas, piemēram, </w:t>
            </w:r>
            <w:proofErr w:type="spellStart"/>
            <w:r w:rsidRPr="000C54CD">
              <w:rPr>
                <w:rFonts w:ascii="Times New Roman" w:eastAsia="Times New Roman" w:hAnsi="Times New Roman" w:cs="Times New Roman"/>
                <w:i/>
                <w:iCs/>
                <w:color w:val="201F1E"/>
                <w:sz w:val="24"/>
                <w:szCs w:val="24"/>
                <w:bdr w:val="none" w:sz="0" w:space="0" w:color="auto" w:frame="1"/>
              </w:rPr>
              <w:t>dark</w:t>
            </w:r>
            <w:proofErr w:type="spellEnd"/>
            <w:r w:rsidRPr="000C54CD">
              <w:rPr>
                <w:rFonts w:ascii="Times New Roman" w:eastAsia="Times New Roman" w:hAnsi="Times New Roman" w:cs="Times New Roman"/>
                <w:i/>
                <w:iCs/>
                <w:color w:val="201F1E"/>
                <w:sz w:val="24"/>
                <w:szCs w:val="24"/>
                <w:bdr w:val="none" w:sz="0" w:space="0" w:color="auto" w:frame="1"/>
              </w:rPr>
              <w:t xml:space="preserve"> net,</w:t>
            </w:r>
            <w:r w:rsidRPr="000C54CD">
              <w:rPr>
                <w:rFonts w:ascii="Times New Roman" w:eastAsia="Times New Roman" w:hAnsi="Times New Roman" w:cs="Times New Roman"/>
                <w:color w:val="201F1E"/>
                <w:sz w:val="24"/>
                <w:szCs w:val="24"/>
                <w:bdr w:val="none" w:sz="0" w:space="0" w:color="auto" w:frame="1"/>
              </w:rPr>
              <w:t> kā arī datiem, kas atrodas ADAS, kuru atrašanās vieta nav noskaidrojama izmantojot ADAS domēna nosaukumu un ADAS pieejamo informāciju.  </w:t>
            </w:r>
          </w:p>
          <w:bookmarkEnd w:id="4"/>
          <w:p w14:paraId="71871FF1" w14:textId="22EDF5F0" w:rsidR="00EA64E4" w:rsidRDefault="00EA64E4" w:rsidP="00EA64E4">
            <w:pPr>
              <w:shd w:val="clear" w:color="auto" w:fill="FFFFFF"/>
              <w:spacing w:after="0" w:line="240" w:lineRule="auto"/>
              <w:jc w:val="both"/>
              <w:rPr>
                <w:rFonts w:ascii="Times New Roman" w:eastAsia="Times New Roman" w:hAnsi="Times New Roman" w:cs="Times New Roman"/>
                <w:color w:val="201F1E"/>
                <w:sz w:val="24"/>
                <w:szCs w:val="24"/>
                <w:bdr w:val="none" w:sz="0" w:space="0" w:color="auto" w:frame="1"/>
              </w:rPr>
            </w:pPr>
            <w:r w:rsidRPr="000C54CD">
              <w:rPr>
                <w:rFonts w:ascii="Times New Roman" w:eastAsia="Times New Roman" w:hAnsi="Times New Roman" w:cs="Times New Roman"/>
                <w:color w:val="201F1E"/>
                <w:sz w:val="24"/>
                <w:szCs w:val="24"/>
                <w:bdr w:val="none" w:sz="0" w:space="0" w:color="auto" w:frame="1"/>
              </w:rPr>
              <w:t>Ņemot vērā, ka kriminālprocesa laikā var kļūt zināms, kurā valstī atrodas ADAS, grozījumi paredz pienākumu šajos gadījumos izmantot savstarpējās tiesiskās palīdzības lūgumus, kas minēti KPL 83. un 83.</w:t>
            </w:r>
            <w:r w:rsidRPr="000C54CD">
              <w:rPr>
                <w:rFonts w:ascii="Times New Roman" w:eastAsia="Times New Roman" w:hAnsi="Times New Roman" w:cs="Times New Roman"/>
                <w:color w:val="201F1E"/>
                <w:sz w:val="24"/>
                <w:szCs w:val="24"/>
                <w:bdr w:val="none" w:sz="0" w:space="0" w:color="auto" w:frame="1"/>
                <w:vertAlign w:val="superscript"/>
              </w:rPr>
              <w:t>1</w:t>
            </w:r>
            <w:r w:rsidRPr="000C54CD">
              <w:rPr>
                <w:rFonts w:ascii="Times New Roman" w:eastAsia="Times New Roman" w:hAnsi="Times New Roman" w:cs="Times New Roman"/>
                <w:color w:val="201F1E"/>
                <w:sz w:val="24"/>
                <w:szCs w:val="24"/>
                <w:bdr w:val="none" w:sz="0" w:space="0" w:color="auto" w:frame="1"/>
              </w:rPr>
              <w:t> nodaļā. </w:t>
            </w:r>
          </w:p>
          <w:p w14:paraId="1E00C943" w14:textId="130CD6F4" w:rsidR="000F5E4B" w:rsidRDefault="000F5E4B" w:rsidP="000F5E4B">
            <w:pPr>
              <w:spacing w:after="0" w:line="240" w:lineRule="auto"/>
              <w:jc w:val="both"/>
              <w:rPr>
                <w:rFonts w:ascii="Times New Roman" w:hAnsi="Times New Roman" w:cs="Times New Roman"/>
                <w:sz w:val="24"/>
                <w:szCs w:val="24"/>
                <w:shd w:val="clear" w:color="auto" w:fill="FFFFFF"/>
              </w:rPr>
            </w:pPr>
            <w:r w:rsidRPr="00DA4ADA">
              <w:rPr>
                <w:rFonts w:ascii="Times New Roman" w:hAnsi="Times New Roman" w:cs="Times New Roman"/>
                <w:sz w:val="24"/>
                <w:szCs w:val="24"/>
                <w:bdr w:val="none" w:sz="0" w:space="0" w:color="auto" w:frame="1"/>
              </w:rPr>
              <w:lastRenderedPageBreak/>
              <w:t xml:space="preserve">Grozījums </w:t>
            </w:r>
            <w:r w:rsidRPr="00DA4ADA">
              <w:rPr>
                <w:rFonts w:ascii="Times New Roman" w:hAnsi="Times New Roman" w:cs="Times New Roman"/>
                <w:b/>
                <w:bCs/>
                <w:sz w:val="24"/>
                <w:szCs w:val="24"/>
                <w:bdr w:val="none" w:sz="0" w:space="0" w:color="auto" w:frame="1"/>
              </w:rPr>
              <w:t>KPL 308. pantā</w:t>
            </w:r>
            <w:r w:rsidRPr="00DA4ADA">
              <w:rPr>
                <w:rFonts w:ascii="Times New Roman" w:hAnsi="Times New Roman" w:cs="Times New Roman"/>
                <w:sz w:val="24"/>
                <w:szCs w:val="24"/>
                <w:bdr w:val="none" w:sz="0" w:space="0" w:color="auto" w:frame="1"/>
              </w:rPr>
              <w:t xml:space="preserve"> ir redakcionāls un ir saistīts ar grozījumiem KPL, kas stājās spēkā 2021. gada 1. janvārī. Proti, atbilstoši minētajiem grozījumiem no KPL 413. panta otrās daļas ir izslēgts “</w:t>
            </w:r>
            <w:r w:rsidRPr="00DA4ADA">
              <w:rPr>
                <w:rFonts w:ascii="Times New Roman" w:hAnsi="Times New Roman" w:cs="Times New Roman"/>
                <w:i/>
                <w:iCs/>
                <w:sz w:val="24"/>
                <w:szCs w:val="24"/>
                <w:bdr w:val="none" w:sz="0" w:space="0" w:color="auto" w:frame="1"/>
              </w:rPr>
              <w:t>uz tiesas sēdi aicināmo personu saraksts”,</w:t>
            </w:r>
            <w:r w:rsidRPr="00DA4ADA">
              <w:rPr>
                <w:rFonts w:ascii="Times New Roman" w:hAnsi="Times New Roman" w:cs="Times New Roman"/>
                <w:sz w:val="24"/>
                <w:szCs w:val="24"/>
                <w:bdr w:val="none" w:sz="0" w:space="0" w:color="auto" w:frame="1"/>
              </w:rPr>
              <w:t xml:space="preserve"> to aizstājot ar “</w:t>
            </w:r>
            <w:r w:rsidRPr="00DA4ADA">
              <w:rPr>
                <w:rFonts w:ascii="Times New Roman" w:hAnsi="Times New Roman" w:cs="Times New Roman"/>
                <w:i/>
                <w:iCs/>
                <w:sz w:val="24"/>
                <w:szCs w:val="24"/>
                <w:shd w:val="clear" w:color="auto" w:fill="FFFFFF"/>
              </w:rPr>
              <w:t xml:space="preserve">personu sarakstu, kuru liecības iekļautas tiesā izmantojamo pierādījumu uzskaitījumā”. </w:t>
            </w:r>
            <w:r w:rsidRPr="00DA4ADA">
              <w:rPr>
                <w:rFonts w:ascii="Times New Roman" w:hAnsi="Times New Roman" w:cs="Times New Roman"/>
                <w:sz w:val="24"/>
                <w:szCs w:val="24"/>
                <w:shd w:val="clear" w:color="auto" w:fill="FFFFFF"/>
              </w:rPr>
              <w:t>Ņemot vērā, ka KPL 308. panta piektā daļa nosaka īpašu kārtību attiecībā uz  speciāli procesuāli aizsargājamās personas adreses norādīšanu, lietu nododot tiesai atbilstoši KPL 413. pantam, ir nepieciešami redakcionāli precizēt 308.panta piekto daļu.</w:t>
            </w:r>
          </w:p>
          <w:p w14:paraId="296B68AA" w14:textId="1AEBD1AC" w:rsidR="00C9653E" w:rsidRPr="00C9653E" w:rsidRDefault="00C9653E" w:rsidP="00C9653E">
            <w:pPr>
              <w:tabs>
                <w:tab w:val="left" w:pos="993"/>
              </w:tabs>
              <w:spacing w:after="0" w:line="240" w:lineRule="auto"/>
              <w:jc w:val="both"/>
              <w:rPr>
                <w:rFonts w:ascii="Times New Roman" w:hAnsi="Times New Roman" w:cs="Times New Roman"/>
                <w:sz w:val="24"/>
                <w:szCs w:val="24"/>
              </w:rPr>
            </w:pPr>
            <w:r w:rsidRPr="00C9653E">
              <w:rPr>
                <w:rFonts w:ascii="Times New Roman" w:hAnsi="Times New Roman" w:cs="Times New Roman"/>
                <w:sz w:val="24"/>
                <w:szCs w:val="24"/>
              </w:rPr>
              <w:t xml:space="preserve">Grozījumi paredz </w:t>
            </w:r>
            <w:r w:rsidR="00E211F4">
              <w:rPr>
                <w:rFonts w:ascii="Times New Roman" w:hAnsi="Times New Roman" w:cs="Times New Roman"/>
                <w:sz w:val="24"/>
                <w:szCs w:val="24"/>
              </w:rPr>
              <w:t>papildināt</w:t>
            </w:r>
            <w:r w:rsidRPr="00C9653E">
              <w:rPr>
                <w:rFonts w:ascii="Times New Roman" w:hAnsi="Times New Roman" w:cs="Times New Roman"/>
                <w:sz w:val="24"/>
                <w:szCs w:val="24"/>
              </w:rPr>
              <w:t xml:space="preserve"> </w:t>
            </w:r>
            <w:r w:rsidRPr="00C9653E">
              <w:rPr>
                <w:rFonts w:ascii="Times New Roman" w:hAnsi="Times New Roman" w:cs="Times New Roman"/>
                <w:b/>
                <w:bCs/>
                <w:sz w:val="24"/>
                <w:szCs w:val="24"/>
              </w:rPr>
              <w:t>KPL 367. panta</w:t>
            </w:r>
            <w:r w:rsidRPr="00C9653E">
              <w:rPr>
                <w:rFonts w:ascii="Times New Roman" w:hAnsi="Times New Roman" w:cs="Times New Roman"/>
                <w:sz w:val="24"/>
                <w:szCs w:val="24"/>
              </w:rPr>
              <w:t xml:space="preserve"> pirmās daļas 7.</w:t>
            </w:r>
            <w:r w:rsidRPr="00C9653E">
              <w:rPr>
                <w:rFonts w:ascii="Times New Roman" w:hAnsi="Times New Roman" w:cs="Times New Roman"/>
                <w:sz w:val="24"/>
                <w:szCs w:val="24"/>
                <w:vertAlign w:val="superscript"/>
              </w:rPr>
              <w:t>3 </w:t>
            </w:r>
            <w:r w:rsidRPr="00C9653E">
              <w:rPr>
                <w:rFonts w:ascii="Times New Roman" w:hAnsi="Times New Roman" w:cs="Times New Roman"/>
                <w:sz w:val="24"/>
                <w:szCs w:val="24"/>
              </w:rPr>
              <w:t>punkt</w:t>
            </w:r>
            <w:r w:rsidR="00E211F4">
              <w:rPr>
                <w:rFonts w:ascii="Times New Roman" w:hAnsi="Times New Roman" w:cs="Times New Roman"/>
                <w:sz w:val="24"/>
                <w:szCs w:val="24"/>
              </w:rPr>
              <w:t>u</w:t>
            </w:r>
            <w:r w:rsidRPr="00C9653E">
              <w:rPr>
                <w:rFonts w:ascii="Times New Roman" w:hAnsi="Times New Roman" w:cs="Times New Roman"/>
                <w:sz w:val="24"/>
                <w:szCs w:val="24"/>
              </w:rPr>
              <w:t xml:space="preserve"> </w:t>
            </w:r>
            <w:r w:rsidR="00E211F4">
              <w:rPr>
                <w:rFonts w:ascii="Times New Roman" w:hAnsi="Times New Roman" w:cs="Times New Roman"/>
                <w:sz w:val="24"/>
                <w:szCs w:val="24"/>
              </w:rPr>
              <w:t>ar vāriem</w:t>
            </w:r>
            <w:r w:rsidRPr="00C9653E">
              <w:rPr>
                <w:rFonts w:ascii="Times New Roman" w:hAnsi="Times New Roman" w:cs="Times New Roman"/>
                <w:sz w:val="24"/>
                <w:szCs w:val="24"/>
              </w:rPr>
              <w:t xml:space="preserve"> “</w:t>
            </w:r>
            <w:r w:rsidR="00E211F4">
              <w:rPr>
                <w:rFonts w:ascii="Times New Roman" w:hAnsi="Times New Roman" w:cs="Times New Roman"/>
                <w:sz w:val="24"/>
                <w:szCs w:val="24"/>
              </w:rPr>
              <w:t xml:space="preserve">vai </w:t>
            </w:r>
            <w:r w:rsidRPr="00C9653E">
              <w:rPr>
                <w:rFonts w:ascii="Times New Roman" w:hAnsi="Times New Roman" w:cs="Times New Roman"/>
                <w:sz w:val="24"/>
                <w:szCs w:val="24"/>
              </w:rPr>
              <w:t>nodotās”. Piedāvātais grozījums ir tehnisks un ir saistīts ar piedāvāto grozījumu KPL 368. pantā saistībā ar procesuālo izdevumu, kas saistīti ar ārvalstī notiesātās personas pārņemšanu brīvības atņemšanas soda izciešanai Latvijā, piedziņu no ārvalstī notiesātās personas. Šobrīd KPL 367. panta pirmās daļas 7.</w:t>
            </w:r>
            <w:r w:rsidRPr="00C9653E">
              <w:rPr>
                <w:rFonts w:ascii="Times New Roman" w:hAnsi="Times New Roman" w:cs="Times New Roman"/>
                <w:sz w:val="24"/>
                <w:szCs w:val="24"/>
                <w:vertAlign w:val="superscript"/>
              </w:rPr>
              <w:t>3 </w:t>
            </w:r>
            <w:r w:rsidRPr="00C9653E">
              <w:rPr>
                <w:rFonts w:ascii="Times New Roman" w:hAnsi="Times New Roman" w:cs="Times New Roman"/>
                <w:sz w:val="24"/>
                <w:szCs w:val="24"/>
              </w:rPr>
              <w:t>punktā lietotais jēdziens “izdošana” tiek attiecināts uz personu izdošanu kriminālvajāšanai, tiesāšanai vai sprieduma izpildei, savukārt jēdziens “nodošana” sevī ietver gan izdoto peronu faktisko nodošanas procesu, gan ārvalstī notiesāto personu nodošanu brīvības atņemšanas soda izciešanai Latvijā. Tādējādi ar piedāvāto grozījumu KPL 367. panta pirmās daļas 7.</w:t>
            </w:r>
            <w:r w:rsidRPr="00C9653E">
              <w:rPr>
                <w:rFonts w:ascii="Times New Roman" w:hAnsi="Times New Roman" w:cs="Times New Roman"/>
                <w:sz w:val="24"/>
                <w:szCs w:val="24"/>
                <w:vertAlign w:val="superscript"/>
              </w:rPr>
              <w:t>3 </w:t>
            </w:r>
            <w:r w:rsidRPr="00C9653E">
              <w:rPr>
                <w:rFonts w:ascii="Times New Roman" w:hAnsi="Times New Roman" w:cs="Times New Roman"/>
                <w:sz w:val="24"/>
                <w:szCs w:val="24"/>
              </w:rPr>
              <w:t>punkta redakcija tiek saskaņota ar piedāvātajiem grozījumiem KPL 368. pantā.</w:t>
            </w:r>
          </w:p>
          <w:p w14:paraId="10DD9580" w14:textId="242CF0AD" w:rsidR="00C9653E" w:rsidRPr="00C9653E" w:rsidRDefault="00C9653E" w:rsidP="00C9653E">
            <w:pPr>
              <w:tabs>
                <w:tab w:val="left" w:pos="567"/>
                <w:tab w:val="left" w:pos="851"/>
                <w:tab w:val="left" w:pos="2127"/>
              </w:tabs>
              <w:spacing w:after="0" w:line="240" w:lineRule="auto"/>
              <w:jc w:val="both"/>
              <w:rPr>
                <w:rFonts w:ascii="Times New Roman" w:hAnsi="Times New Roman" w:cs="Times New Roman"/>
                <w:sz w:val="24"/>
                <w:szCs w:val="24"/>
              </w:rPr>
            </w:pPr>
            <w:r w:rsidRPr="00C9653E">
              <w:rPr>
                <w:rFonts w:ascii="Times New Roman" w:hAnsi="Times New Roman" w:cs="Times New Roman"/>
                <w:sz w:val="24"/>
                <w:szCs w:val="24"/>
              </w:rPr>
              <w:t xml:space="preserve">Grozījumi paredz papildināt </w:t>
            </w:r>
            <w:r w:rsidRPr="00C9653E">
              <w:rPr>
                <w:rFonts w:ascii="Times New Roman" w:hAnsi="Times New Roman" w:cs="Times New Roman"/>
                <w:b/>
                <w:bCs/>
                <w:sz w:val="24"/>
                <w:szCs w:val="24"/>
              </w:rPr>
              <w:t>KPL 368. pantu ar jaunu 5.</w:t>
            </w:r>
            <w:r w:rsidRPr="00C9653E">
              <w:rPr>
                <w:rFonts w:ascii="Times New Roman" w:hAnsi="Times New Roman" w:cs="Times New Roman"/>
                <w:b/>
                <w:bCs/>
                <w:sz w:val="24"/>
                <w:szCs w:val="24"/>
                <w:vertAlign w:val="superscript"/>
              </w:rPr>
              <w:t>1</w:t>
            </w:r>
            <w:r w:rsidRPr="00C9653E">
              <w:rPr>
                <w:rFonts w:ascii="Times New Roman" w:hAnsi="Times New Roman" w:cs="Times New Roman"/>
                <w:b/>
                <w:bCs/>
                <w:sz w:val="24"/>
                <w:szCs w:val="24"/>
              </w:rPr>
              <w:t> daļu</w:t>
            </w:r>
            <w:r w:rsidRPr="00C9653E">
              <w:rPr>
                <w:rFonts w:ascii="Times New Roman" w:hAnsi="Times New Roman" w:cs="Times New Roman"/>
                <w:sz w:val="24"/>
                <w:szCs w:val="24"/>
              </w:rPr>
              <w:t>, kura noteiktu gadījumus, kuros KPL 367. panta pirmās daļas 7.</w:t>
            </w:r>
            <w:r w:rsidRPr="00C9653E">
              <w:rPr>
                <w:rFonts w:ascii="Times New Roman" w:hAnsi="Times New Roman" w:cs="Times New Roman"/>
                <w:sz w:val="24"/>
                <w:szCs w:val="24"/>
                <w:vertAlign w:val="superscript"/>
              </w:rPr>
              <w:t>3</w:t>
            </w:r>
            <w:r w:rsidRPr="00C9653E">
              <w:rPr>
                <w:rFonts w:ascii="Times New Roman" w:hAnsi="Times New Roman" w:cs="Times New Roman"/>
                <w:sz w:val="24"/>
                <w:szCs w:val="24"/>
              </w:rPr>
              <w:t xml:space="preserve"> punktā paredzētos procesuālos izdevumus, kas saistīti ar ārvalstī notiesātās personas pārņemšanu soda izciešanai Latvijā, var pilnībā vai daļēji piedzīt no ārvalstī notiesātās personas, proti, ja ir saņemts ārvalstī notiesātās personas vai tās pārstāvja lūgums ārvalstī piespriesta brīvības atņemšanas soda izpildīšanai Latvijā, vai, ja ārvalstī notiesātā persona apzināti ir kavējusi nodošanas procedūru, radot valstij papildu izdevumus, vai arī, ja personas pārņemšana saistīta ar nesamērīgiem izdevumiem. </w:t>
            </w:r>
          </w:p>
          <w:p w14:paraId="1FBD0321" w14:textId="77777777" w:rsidR="00C9653E" w:rsidRPr="007334AD"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2018. gada 25. augustā spēkā stājās grozījums KPL 367. pantā, ar kuru šā panta pirmā daļa tika papildināta ar 7.</w:t>
            </w:r>
            <w:r w:rsidRPr="007334AD">
              <w:rPr>
                <w:rFonts w:ascii="Times New Roman" w:hAnsi="Times New Roman" w:cs="Times New Roman"/>
                <w:sz w:val="24"/>
                <w:szCs w:val="24"/>
                <w:vertAlign w:val="superscript"/>
              </w:rPr>
              <w:t>3</w:t>
            </w:r>
            <w:r w:rsidRPr="007334AD">
              <w:rPr>
                <w:rFonts w:ascii="Times New Roman" w:hAnsi="Times New Roman" w:cs="Times New Roman"/>
                <w:sz w:val="24"/>
                <w:szCs w:val="24"/>
              </w:rPr>
              <w:t xml:space="preserve"> punktu, kurš noteic, ka procesuālie izdevumi ir izdevumi, kas saistīti ar ārvalsts izdotās personas pārņemšanu. No pamatojuma minētajiem grozījumiem izriet, ka KPL 367. panta pirmās daļas 7.</w:t>
            </w:r>
            <w:r w:rsidRPr="007334AD">
              <w:rPr>
                <w:rFonts w:ascii="Times New Roman" w:hAnsi="Times New Roman" w:cs="Times New Roman"/>
                <w:sz w:val="24"/>
                <w:szCs w:val="24"/>
                <w:vertAlign w:val="superscript"/>
              </w:rPr>
              <w:t>3</w:t>
            </w:r>
            <w:r w:rsidRPr="007334AD">
              <w:rPr>
                <w:rFonts w:ascii="Times New Roman" w:hAnsi="Times New Roman" w:cs="Times New Roman"/>
                <w:sz w:val="24"/>
                <w:szCs w:val="24"/>
              </w:rPr>
              <w:t xml:space="preserve"> punktā paredzētie procesuālie izdevumi ir attiecināmi uz izdevumiem, kas saistīti ar KPL 65. nodaļā paredzēto personu izdošana Latvijai, taču nav attiecināmi uz izdevumiem, kas saistīti KPL 70. un 71. nodaļā paredzēto ārvalstī vai Eiropas Savienības dalībvalstī notiesāto personu pārņemšanu brīvības atņemšanas soda izpildīšanai Latvijā.</w:t>
            </w:r>
          </w:p>
          <w:p w14:paraId="312DC23C" w14:textId="77777777" w:rsidR="00C9653E" w:rsidRPr="007334AD"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Ievērojot minēto, darba grupā Kriminālprocesa likuma C daļas "Starptautiskā sadarbība krimināltiesiskajā jomā" </w:t>
            </w:r>
            <w:r w:rsidRPr="007334AD">
              <w:rPr>
                <w:rFonts w:ascii="Times New Roman" w:hAnsi="Times New Roman" w:cs="Times New Roman"/>
                <w:sz w:val="24"/>
                <w:szCs w:val="24"/>
              </w:rPr>
              <w:lastRenderedPageBreak/>
              <w:t xml:space="preserve">grozījumu izstrādei tika diskutēts par to, vai ir </w:t>
            </w:r>
            <w:r w:rsidRPr="007334AD">
              <w:rPr>
                <w:rFonts w:ascii="Times New Roman" w:hAnsi="Times New Roman" w:cs="Times New Roman"/>
                <w:bCs/>
                <w:sz w:val="24"/>
                <w:szCs w:val="24"/>
              </w:rPr>
              <w:t xml:space="preserve">nepieciešams paplašināt KPL 367. un 368. panta saturu un izpratni, nosakot, ka procesuālie izdevumi ir arī izdevumi, kas </w:t>
            </w:r>
            <w:r w:rsidRPr="007334AD">
              <w:rPr>
                <w:rFonts w:ascii="Times New Roman" w:hAnsi="Times New Roman" w:cs="Times New Roman"/>
                <w:sz w:val="24"/>
                <w:szCs w:val="24"/>
              </w:rPr>
              <w:t xml:space="preserve">saistīti ar ārvalstī notiesātās personas pārņemšanu brīvības atņemšanas soda izciešanai Latvijā, ņemot vērā to, ka praksē šāda peronu pārņemšana ir saistīta ar ievērojamiem izdevumiem, piemēram, par personas pārņemšanu brīvības atņemšanas soda izciešanai Latvijā no Bermudu salām tika samaksāti 8200  eiro, no Japānas – 4080 eiro. </w:t>
            </w:r>
          </w:p>
          <w:p w14:paraId="438148F2" w14:textId="77777777" w:rsidR="00C9653E" w:rsidRPr="007334AD"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No 1983. gada 21. marta Eiropas padomes konvencijas par notiesāto personu nodošanu soda izciešanai (turpmāk – Konvencija) preambulas izriet, ka sadarbība personu nodošanā soda izciešanai paredz veicināt taisnīgumu un notiesāto personu sociālo rehabilitāciju. Šo mērķu sasniegšanai ir jādod iespēja ārvalstniekiem, kuriem atņemta brīvība sakarā ar kriminālnozieguma izdarīšanu, izciest sodu savā vidē, un šo mērķi vislabāk var sasniegt, notiesātās personas nododot soda izciešanai savās valstīs. Konvencijas 17. panta 5. daļa noteic, ka jebkuras izmaksas, kas rodas sakarā ar šīs Konvencijas piemērošanu, sedz valsts, kurā sods tiek izciests, izņemot izmaksas, kas radušās tikai un vienīgi tās valsts teritorijā, kurā persona notiesāta. Savukārt Konvencijas skaidrojošajā dokumentā ir norādīts, ka valstij, kurā sods tiks izciests, nav liegts piedzīt visas vai daļu no nodošanas izmaksām no notiesātās personas.</w:t>
            </w:r>
          </w:p>
          <w:p w14:paraId="51D83AE3" w14:textId="77777777" w:rsidR="00C9653E" w:rsidRPr="007334AD"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Ievērojot minēto, piedāvātie grozījumi paredz kritērijus, kādos var pilnībā vai daļēji piedzīt no ārvalstī notiesātās personas izdevumus, kas saistīti ar ārvalstī notiesātās personas pārņemšanu brīvības atņemšanas soda izciešanai Latvijā, tādējādi nodrošinot kompromisu starp personas tiesībām uz </w:t>
            </w:r>
            <w:proofErr w:type="spellStart"/>
            <w:r w:rsidRPr="007334AD">
              <w:rPr>
                <w:rFonts w:ascii="Times New Roman" w:hAnsi="Times New Roman" w:cs="Times New Roman"/>
                <w:sz w:val="24"/>
                <w:szCs w:val="24"/>
              </w:rPr>
              <w:t>resocializāciju</w:t>
            </w:r>
            <w:proofErr w:type="spellEnd"/>
            <w:r w:rsidRPr="007334AD">
              <w:rPr>
                <w:rFonts w:ascii="Times New Roman" w:hAnsi="Times New Roman" w:cs="Times New Roman"/>
                <w:sz w:val="24"/>
                <w:szCs w:val="24"/>
              </w:rPr>
              <w:t>, izciešot sodu savā valstī, un pienākumu pilnībā vai daļēji segt izdevumus, kuri saistīti ar personas pārņemšanu brīvības atņemšanas soda izciešanai Latvijā. Piedāvātie grozījumi paredz tiesai plašu rīcības brīvību, lemjot par procesuālo izdevumu, kas saistīti ar ārvalstī notiesātās personas pārņemšanu brīvības atņemšanas soda izciešanai Latvijā, piedziņu, gan nosakot, ka šādus procesuālos izdevumus var piedzīt, nenosakot obligātu piedziņu, gan paredzot, ka tos var piedzīt pilnībā vai daļēji.</w:t>
            </w:r>
          </w:p>
          <w:p w14:paraId="6F580189" w14:textId="77777777" w:rsidR="00C9653E" w:rsidRPr="007334AD"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Saskaņā ar KPL 764. panta pirmo daļu pamats tam, lai izpildītu ārvalstī piespriestu ar brīvības atņemšanu saistītu sodu Latvijā, ir: 1) Tieslietu ministrijas lūgums nodot Latvijai ārvalstī piespriesta brīvības atņemšanas soda izpildīšanu un šīs ārvalsts piekrišana tam; 2) ārvalsts lūgums pārņemt tajā piespriestu brīvības atņemšanas sodu un Tieslietu ministrijas piekrišana tam. Savukārt KPL 765. panta otrajai daļai, ja ir saņemts ārvalstī notiesātās personas vai tās pārstāvja lūgums, Tieslietu ministrija veic lūguma pārbaudi 20 dienu laikā, ja nepieciešams, pieprasot papildu informāciju ar mērķi izvērtēt iespēju iesniegt </w:t>
            </w:r>
            <w:r w:rsidRPr="007334AD">
              <w:rPr>
                <w:rFonts w:ascii="Times New Roman" w:hAnsi="Times New Roman" w:cs="Times New Roman"/>
                <w:sz w:val="24"/>
                <w:szCs w:val="24"/>
              </w:rPr>
              <w:lastRenderedPageBreak/>
              <w:t>lūgumu attiecīgajai ārvalstij par tajā piespriesta brīvības atņemšanas soda izpildīšanu Latvijā.</w:t>
            </w:r>
          </w:p>
          <w:p w14:paraId="1E3FD444" w14:textId="77777777" w:rsidR="00C9653E" w:rsidRPr="007334AD"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Saskaņā ar KPL 767. panta pirmo daļu ārvalstī notiesāto personu, kura šajā ārvalstī izcieš brīvības atņemšanas sodu, var pārņemt soda izciešanai Latvijā, ja tam piekrīt šī persona. Saskaņā ar KPL 767. panta otro daļu ārvalstī notiesāto personu var pārņemt soda izciešanai Latvijā bez attiecīgās personas piekrišanas, ja: 1) šī persona atrodas Latvijā; 2) šī persona aizbēgusi no soda izciešanas ārvalstī un ieradusies Latvijā un attiecīgā ārvalsts ir pieprasījusi nodrošināt soda izciešanu Latvijā; 3) spriedumā vai administratīvajā lēmumā ir ietverts rīkojums par personas izraidīšanu vai deportāciju no šīs ārvalsts pēc attiecīgās personas atbrīvošanas no ieslodzījuma; 4) ir pamats uzskatīt, ka, ņemot vērā personas vecumu vai fizisko vai garīgo stāvokli, pārņemšana soda izciešanai ir nepieciešama, un ja tai piekrīt ārvalstī notiesātās personas pārstāvis.</w:t>
            </w:r>
          </w:p>
          <w:p w14:paraId="11BEF2F9" w14:textId="77777777" w:rsidR="00C9653E" w:rsidRPr="007334AD"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Ievērojot minēto, pastāv šādas situācijas, kurās personas tiek pārņemtas brīvības atņemšanas soda izciešanai Latvijā: 1) Latvijas lūgums pārņemt personu un personas piekrišana nodošanai; 2) ārvalsts lūgums pārņemt personu un personas piekrišana nodošanai; 3) KPL 767. panta otrajā daļā norādītie gadījumi, kad personas piekrišana nav nepieciešama; 4) Gadījumi, kad persona pati lūdz pārņemt viņu brīvības atņemšanas soda izciešanai Latvijā. </w:t>
            </w:r>
          </w:p>
          <w:p w14:paraId="657BEBC2" w14:textId="77777777" w:rsidR="00C9653E" w:rsidRPr="007334AD"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Kā viens no kritērijiem, kad var pilnībā vai daļēji no personas piedzīt procesuālos izdevumus, kas saistīti ar tās pārņemšanu brīvības atņemšanas soda izciešanai Latvijā, tiek paredzēts gadījumi, kad ir saņemts ārvalstī notiesātās personas vai tās pārstāvja lūgums ārvalstī piespriesta brīvības atņemšanas soda izpildīšanai Latvijā, ievērojot to, ka šādā gadījumā persona pati lūdz un vēlās izciest brīvības atņemšanas sodu Latvijā, līdz ar to ir pamatoti paredzēt, ka šādā gadījumā personai jārēķinās ar to, ka no viņas var tikt piedzīti pārņemšanas izdevumi. Atšķirīgas ir situācijas, kurās personas pārņemšanu brīvības atņemšanas soda izciešanai lūdz Latvija vai ārvalsts un ir nepieciešama personas piekrišana tam, šādos gadījumos nebūtu pamatoti, ja personas piekrišana vai nepiekrišana tās pārņemšanai kļūtu atkarīga no tā, vai persona var atļauties segt izdevumus, kas saistīti ar tās pārņemšanu. Kā arī nebūtu pamatoti piedzīt no personas izdevumus, kas saistīti ar tās pārņemšanu, KPL 767. panta otrajā daļā noteiktajos gadījumos, kad personas piekrišana pārņemšanai brīvības atņemšanas soda izpildīšanai Latvijā nav nepieciešama, jo šādos gadījumos pārņemšana brīvības atņemšanas soda izpildīšanai nav atkarīga no pašas personas. </w:t>
            </w:r>
          </w:p>
          <w:p w14:paraId="5E105F3F" w14:textId="5D8CB5F2" w:rsidR="00C9653E" w:rsidRPr="007334AD"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Otrs kritērijs, kad var pilnībā vai daļēji no personas piedzīt procesuālos izdevumus, kas saistīti ar tās pārņemšanu brīvības atņemšanas soda izciešanai Latvijā, ir gadījumi, kad ārvalstī notiesātā persona apzināti ir kavējusi nodošanas </w:t>
            </w:r>
            <w:r w:rsidRPr="007334AD">
              <w:rPr>
                <w:rFonts w:ascii="Times New Roman" w:hAnsi="Times New Roman" w:cs="Times New Roman"/>
                <w:sz w:val="24"/>
                <w:szCs w:val="24"/>
              </w:rPr>
              <w:lastRenderedPageBreak/>
              <w:t>procedūru, radot valstij papildu izdevumus, proti, praksē ir gadījumi, kad personas apzināti kavē nodošanas procedūru, piemēram, ar nodomu radot traumas sev vai citiem, kā dēļ nodošana kļūst neiespējama, vai lidmašīnas pilots personas neadekvātas uzvedības dēļ personu izsēdina no lidmašīnas, kā rezultātā ir vēlreiz jāveic personas pārņemšanas procedūra, kā rezultātā valstij tiek radīti papildu izdevumi par atkārtotas personas pārņemšanas organizēšanu un veikšanu. Praksē jau šobrīd ir gadījumi, kad procesa virzītāji lūdz tiesu šādos gadījumos piedzīt procesuālos izdevumus no ārvalstī notiesātās personas, tādējādi paredzētie grozījumi dod papildus tiesisko pamatu prasīt šādu procesuālo izdevumu piedziņu no notiesātās personas.</w:t>
            </w:r>
          </w:p>
          <w:p w14:paraId="3522D1B3" w14:textId="77777777" w:rsidR="00C9653E" w:rsidRPr="007334AD"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Trešais kritērijs, kuram izpildoties var pilnībā vai daļēji no personas piedzīt procesuālos izdevumus, kas saistīti ar tās pārņemšanu brīvības atņemšanas soda izciešanai Latvijā, ir gadījumi, kad personas pārņemšana saistīta ar nesamērīgiem izdevumiem. Jānorāda, ka personām, apzināti izdarot noziedzīgas darbības ārvalstī, būtu jārēķinās ar to, ka viņas par to var tikt notiesātas ārvalstī un var būt nepieciešams pārņemt tās brīvības atņemšanas soda izciešanai Latvijā, līdz ar to ir pamatoti paredzēt iespēju, ka izdevumi, kas saistīti ar šādu pārņemšanu var tikt daļēji vai pilnībā piedzīti no notiesātas personas, sevišķi gadījumos, kad šāda pārņemšana ir saistīta nesamērīgiem izdevumiem un valsts resursiem, piemēram, ja nepieciešams noslēgt divpusējo sadarbības līgumu ar attiecīgo valsti, lai personas pārņemšana brīvības soda izciešanai vispār varētu notikt.</w:t>
            </w:r>
          </w:p>
          <w:p w14:paraId="6E9F02A3" w14:textId="4F4EEA96" w:rsidR="00C9653E" w:rsidRPr="00C9653E" w:rsidRDefault="00C9653E" w:rsidP="00C9653E">
            <w:pPr>
              <w:tabs>
                <w:tab w:val="left" w:pos="284"/>
                <w:tab w:val="left" w:pos="851"/>
                <w:tab w:val="left" w:pos="993"/>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Papildus jānorāda, ka piedāvāto grozījumu otrais un trešais kritērijs var tikt piemērots neatkarīgi no pirmā kritērija</w:t>
            </w:r>
            <w:r>
              <w:rPr>
                <w:rFonts w:ascii="Times New Roman" w:hAnsi="Times New Roman" w:cs="Times New Roman"/>
                <w:sz w:val="24"/>
                <w:szCs w:val="24"/>
              </w:rPr>
              <w:t xml:space="preserve">, piemēram, gadījumā, ja persona pati vai tās pārstāvis ir lūguši </w:t>
            </w:r>
            <w:bookmarkStart w:id="5" w:name="_Hlk75966519"/>
            <w:r w:rsidRPr="007334AD">
              <w:rPr>
                <w:rFonts w:ascii="Times New Roman" w:hAnsi="Times New Roman" w:cs="Times New Roman"/>
                <w:sz w:val="24"/>
                <w:szCs w:val="24"/>
              </w:rPr>
              <w:t>pārņemšanu brīvības atņemšanas soda izciešanai Latvijā</w:t>
            </w:r>
            <w:bookmarkEnd w:id="5"/>
            <w:r>
              <w:rPr>
                <w:rFonts w:ascii="Times New Roman" w:hAnsi="Times New Roman" w:cs="Times New Roman"/>
                <w:sz w:val="24"/>
                <w:szCs w:val="24"/>
              </w:rPr>
              <w:t xml:space="preserve">, tad, neatkarīgi no izdevumu apmēra, saskaņā ar pirmo kritēriju no tās pilnībā vai daļēji var piedzīt procesuālos izdevumus, </w:t>
            </w:r>
            <w:r w:rsidRPr="007334AD">
              <w:rPr>
                <w:rFonts w:ascii="Times New Roman" w:hAnsi="Times New Roman" w:cs="Times New Roman"/>
                <w:sz w:val="24"/>
                <w:szCs w:val="24"/>
              </w:rPr>
              <w:t>kas saistīti ar tās pārņemšanu brīvības atņemšanas soda izciešanai Latvijā</w:t>
            </w:r>
            <w:r>
              <w:rPr>
                <w:rFonts w:ascii="Times New Roman" w:hAnsi="Times New Roman" w:cs="Times New Roman"/>
                <w:sz w:val="24"/>
                <w:szCs w:val="24"/>
              </w:rPr>
              <w:t xml:space="preserve">, savukārt, ja persona vai tās pārstāvis ir lūguši </w:t>
            </w:r>
            <w:r w:rsidRPr="00756DE4">
              <w:rPr>
                <w:rFonts w:ascii="Times New Roman" w:hAnsi="Times New Roman" w:cs="Times New Roman"/>
                <w:sz w:val="24"/>
                <w:szCs w:val="24"/>
              </w:rPr>
              <w:t>pārņemšanu brīvības atņemšanas soda izciešanai Latvijā</w:t>
            </w:r>
            <w:r>
              <w:rPr>
                <w:rFonts w:ascii="Times New Roman" w:hAnsi="Times New Roman" w:cs="Times New Roman"/>
                <w:sz w:val="24"/>
                <w:szCs w:val="24"/>
              </w:rPr>
              <w:t xml:space="preserve">, kā arī tās pārņemšana ir saistīta ar nesamērīgiem izdevumiem, tad izpildās gan pirmais, gan trešais kritērijs. Tādējādi </w:t>
            </w:r>
            <w:r w:rsidRPr="007334AD">
              <w:rPr>
                <w:rFonts w:ascii="Times New Roman" w:hAnsi="Times New Roman" w:cs="Times New Roman"/>
                <w:sz w:val="24"/>
                <w:szCs w:val="24"/>
              </w:rPr>
              <w:t>otrajā un trešajā kritērijā paredzētajās situācijās var pilnībā vai daļēji no personas piedzīt procesuālos izdevumus, kas saistīti ar tās pārņemšanu brīvības atņemšanas soda izciešanai Latvijā, arī gadījumos, kad persona pati vai tās pārstāvis nav lūguši pārņemšanu brīvības atņemšanas soda izciešanai Latvijā.</w:t>
            </w:r>
          </w:p>
          <w:p w14:paraId="76F1E3D7" w14:textId="40E97229" w:rsidR="00F05293" w:rsidRPr="00E76F8B" w:rsidRDefault="00F05293" w:rsidP="000D1C81">
            <w:pPr>
              <w:pStyle w:val="Paraststmeklis"/>
              <w:spacing w:before="0" w:beforeAutospacing="0" w:after="0" w:afterAutospacing="0"/>
              <w:jc w:val="both"/>
            </w:pPr>
            <w:bookmarkStart w:id="6" w:name="_Hlk78360303"/>
            <w:bookmarkEnd w:id="3"/>
            <w:r w:rsidRPr="00726FC8">
              <w:t>Grozījum</w:t>
            </w:r>
            <w:r>
              <w:t>s</w:t>
            </w:r>
            <w:r w:rsidRPr="00726FC8">
              <w:t xml:space="preserve"> </w:t>
            </w:r>
            <w:r w:rsidRPr="00F05293">
              <w:rPr>
                <w:b/>
                <w:bCs/>
              </w:rPr>
              <w:t>KPL 377. pantā</w:t>
            </w:r>
            <w:r w:rsidRPr="00726FC8">
              <w:t xml:space="preserve"> paredz papildināt regulējumu ar vēl vienu gadījumu, kam iestājoties, </w:t>
            </w:r>
            <w:r w:rsidRPr="00726FC8">
              <w:rPr>
                <w:shd w:val="clear" w:color="auto" w:fill="FFFFFF"/>
              </w:rPr>
              <w:t xml:space="preserve">kriminālprocesu nedrīkst uzsākt, bet </w:t>
            </w:r>
            <w:r w:rsidRPr="002B5E7C">
              <w:rPr>
                <w:shd w:val="clear" w:color="auto" w:fill="FFFFFF"/>
              </w:rPr>
              <w:t xml:space="preserve">uzsākts process ir jāizbeidz, proti, ja </w:t>
            </w:r>
            <w:r w:rsidRPr="002B5E7C">
              <w:t xml:space="preserve">cietušais līdz izmeklēšanas pabeigšanai </w:t>
            </w:r>
            <w:proofErr w:type="spellStart"/>
            <w:r w:rsidRPr="002B5E7C">
              <w:t>pirmstiesas</w:t>
            </w:r>
            <w:proofErr w:type="spellEnd"/>
            <w:r w:rsidRPr="002B5E7C">
              <w:t xml:space="preserve"> kriminālprocesā atsaucis pieteikumu tādā kriminālprocesā, kuru var uzsākt tikai uz šīs personas pieteikuma pamata.</w:t>
            </w:r>
            <w:r w:rsidR="00E211F4" w:rsidRPr="002B5E7C">
              <w:t xml:space="preserve"> </w:t>
            </w:r>
            <w:r w:rsidR="00E76F8B" w:rsidRPr="002B5E7C">
              <w:lastRenderedPageBreak/>
              <w:t>Šo</w:t>
            </w:r>
            <w:r w:rsidR="00E211F4" w:rsidRPr="002B5E7C">
              <w:t>brīd KPL 377. panta 8. punkts paredz</w:t>
            </w:r>
            <w:r w:rsidR="00E76F8B" w:rsidRPr="002B5E7C">
              <w:t xml:space="preserve">, ka </w:t>
            </w:r>
            <w:r w:rsidR="00E76F8B" w:rsidRPr="002B5E7C">
              <w:rPr>
                <w:shd w:val="clear" w:color="auto" w:fill="FFFFFF"/>
              </w:rPr>
              <w:t>kriminālprocesu nedrīkst uzsākt, bet uzsākts process ir jāizbeidz, ja nav cietušās personas pieteikuma tādā kriminālprocesā, kuru var uzsākt tikai uz šīs personas pieteikuma pamata. Norma attiecās uz šā likuma 7. panta otrajā daļā noteiktajiem gadījumiem. Savukārt ar grozījumiem plānots noteikt kriminālprocesa izbeigšanu līdz izmeklēšanas pabeigšanai, ja cietušā pieteikums šā likuma 7. panta otrajā daļā noteiktajos gadījumos ir saņems, bet tiek atsaukts.</w:t>
            </w:r>
            <w:r w:rsidRPr="002B5E7C">
              <w:t xml:space="preserve"> Grozījums ir saistīts ar to, ka praksē cietu</w:t>
            </w:r>
            <w:r w:rsidR="00227B29" w:rsidRPr="002B5E7C">
              <w:t xml:space="preserve">šās </w:t>
            </w:r>
            <w:r w:rsidRPr="002B5E7C">
              <w:t>persona</w:t>
            </w:r>
            <w:r w:rsidR="00227B29" w:rsidRPr="002B5E7C">
              <w:t>s</w:t>
            </w:r>
            <w:r w:rsidRPr="002B5E7C">
              <w:t xml:space="preserve"> vēršas pie procesa virzītāja un atsauc savu</w:t>
            </w:r>
            <w:r w:rsidRPr="00726FC8">
              <w:t xml:space="preserve"> iesniegumu, tomēr, ņemot vērā, ka šis jautājums nav reglamentēts KPL, procesa virzītājiem ir </w:t>
            </w:r>
            <w:r w:rsidR="00E77DBD" w:rsidRPr="00726FC8">
              <w:t>atšķirīg</w:t>
            </w:r>
            <w:r w:rsidR="00E77DBD">
              <w:t>i</w:t>
            </w:r>
            <w:r w:rsidR="00E77DBD" w:rsidRPr="00726FC8">
              <w:t xml:space="preserve"> viedok</w:t>
            </w:r>
            <w:r w:rsidR="00E77DBD">
              <w:t>ļi</w:t>
            </w:r>
            <w:r w:rsidRPr="00726FC8">
              <w:t xml:space="preserve">, kā rīkoties šādās situācijās. Proti, daļa procesa virzītāju uzskata, ka ievērojot to, ka </w:t>
            </w:r>
            <w:r w:rsidR="00E77DBD" w:rsidRPr="00726FC8">
              <w:t>kriminālproces</w:t>
            </w:r>
            <w:r w:rsidR="00E77DBD">
              <w:t>s</w:t>
            </w:r>
            <w:r w:rsidR="00E77DBD" w:rsidRPr="00726FC8">
              <w:t xml:space="preserve"> </w:t>
            </w:r>
            <w:r w:rsidRPr="00726FC8">
              <w:t xml:space="preserve">ir publiskās </w:t>
            </w:r>
            <w:r w:rsidRPr="002B5E7C">
              <w:t>apsūdzības process, tāpēc nevajadzētu paredzēt, ka cietusī personas var atsaukt savu pieteikumu.</w:t>
            </w:r>
            <w:r w:rsidR="00FF4104" w:rsidRPr="002B5E7C">
              <w:t xml:space="preserve"> Daļa procesa virzītāju uzskata, ka</w:t>
            </w:r>
            <w:r w:rsidR="002B3EF4" w:rsidRPr="002B5E7C">
              <w:t xml:space="preserve"> </w:t>
            </w:r>
            <w:r w:rsidRPr="002B5E7C">
              <w:t xml:space="preserve">KPL 7. panta </w:t>
            </w:r>
            <w:r w:rsidR="00FF4104" w:rsidRPr="002B5E7C">
              <w:t xml:space="preserve">otrā </w:t>
            </w:r>
            <w:r w:rsidRPr="002B5E7C">
              <w:t>daļa paredz, ka kriminālprocesu var uzsākt, ja ir saņemts personas iesniegums, tad arī būtu jāparedz, ka persona var atsaukt savu pieteikumu. Atzīstams, ka nav lietderīgi turpināt kriminālprocesu un tērēt valsts līdzekļus procesam, kuru cietušais nevēlas un ats</w:t>
            </w:r>
            <w:r w:rsidR="00FF4104" w:rsidRPr="002B5E7C">
              <w:t>a</w:t>
            </w:r>
            <w:r w:rsidRPr="002B5E7C">
              <w:t>kās sadarboties</w:t>
            </w:r>
            <w:r w:rsidR="00227B29" w:rsidRPr="002B5E7C">
              <w:t xml:space="preserve"> ar procesa virzītāju</w:t>
            </w:r>
            <w:r w:rsidR="000D1C81" w:rsidRPr="002B5E7C">
              <w:t xml:space="preserve"> gadījumos, kad kriminālprocess var tikt uzsākts pēc </w:t>
            </w:r>
            <w:r w:rsidR="000D1C81" w:rsidRPr="002B5E7C">
              <w:rPr>
                <w:lang w:eastAsia="en-US"/>
              </w:rPr>
              <w:t>tās personas pieteikuma pamata, kurai nodarīts kaitējums</w:t>
            </w:r>
            <w:r w:rsidRPr="002B5E7C">
              <w:t xml:space="preserve">. Līdz ar to būtu jāparedz cietušajam iespēja </w:t>
            </w:r>
            <w:proofErr w:type="spellStart"/>
            <w:r w:rsidRPr="002B5E7C">
              <w:t>pirmstiesas</w:t>
            </w:r>
            <w:proofErr w:type="spellEnd"/>
            <w:r w:rsidRPr="002B5E7C">
              <w:t xml:space="preserve"> procesā atsaukt savu iesniegumu par kriminālprocesa uzsākšanu. Paredzēts, ka šādu iesnieguma atsaukumu var izdarīt līdz brīdim, kad procesa virzītājs materiālus ir nodevis prokuroram kriminālvajāšanas uzsākšanai. Proti, ja persona vēlēsies atsaukt </w:t>
            </w:r>
            <w:r w:rsidR="00227B29" w:rsidRPr="002B5E7C">
              <w:t>iesniegumu</w:t>
            </w:r>
            <w:r w:rsidR="00227B29">
              <w:t>, kad lieta būs nodota prokuroram vai tiesai</w:t>
            </w:r>
            <w:r w:rsidRPr="00726FC8">
              <w:t xml:space="preserve">, to nevarēs izdarīt, bet gan </w:t>
            </w:r>
            <w:r w:rsidR="00FF4104">
              <w:t>atbilstoši</w:t>
            </w:r>
            <w:r w:rsidR="00FF4104" w:rsidRPr="00726FC8">
              <w:t xml:space="preserve"> </w:t>
            </w:r>
            <w:r w:rsidRPr="00726FC8">
              <w:t>pašreizējam regulējumam varēs, piemēram</w:t>
            </w:r>
            <w:r w:rsidR="00FF4104">
              <w:t>,</w:t>
            </w:r>
            <w:r w:rsidRPr="00726FC8">
              <w:t xml:space="preserve"> noslēgt izlīgumu ar apsūdzēto, kas atbilstoši KPL 481. panta pirmajai daļai ir pamats izbeigt kriminālprocesu tiesas sēdē. Norādāms, ka pieteikumu atsaukt var tikai pati persona, kas</w:t>
            </w:r>
            <w:r w:rsidR="00227B29">
              <w:t xml:space="preserve"> to</w:t>
            </w:r>
            <w:r w:rsidRPr="00726FC8">
              <w:t xml:space="preserve"> iesniedza un atsaukums </w:t>
            </w:r>
            <w:r w:rsidR="00227B29">
              <w:t>ir</w:t>
            </w:r>
            <w:r w:rsidRPr="00726FC8">
              <w:t xml:space="preserve"> galīgs, ja vien netiktu noskaidrots, ka tas </w:t>
            </w:r>
            <w:r w:rsidR="00227B29">
              <w:t>iesniegts</w:t>
            </w:r>
            <w:r w:rsidRPr="00726FC8">
              <w:t xml:space="preserve"> piespiedu kārtā. Ja procesa virzītājam ir pamatotas aizdomas, ka persona draudu iespaidā </w:t>
            </w:r>
            <w:r w:rsidR="00AB2173">
              <w:t>atsauc savu iesniegumu</w:t>
            </w:r>
            <w:r w:rsidRPr="00726FC8">
              <w:t>, proc</w:t>
            </w:r>
            <w:r w:rsidRPr="00E339E0">
              <w:t>esa virzītājam ir jārīkojas savu pilnvaru ietvaros. Uzskatāms, ka šādas normas ieviešana ir veids, kā panākt taisnīgu noregulējumu, nenoslogojot procesa virzītājus, vienlaikus respektējot cietušā gribu. Vienlaikus norādāms, ka tā kā šobrīd KPL regulējums nosaka, ka tāda kriminālprocesa izbeigšana, kas izbeigts, jo n</w:t>
            </w:r>
            <w:r w:rsidRPr="00E339E0">
              <w:rPr>
                <w:shd w:val="clear" w:color="auto" w:fill="FFFFFF"/>
              </w:rPr>
              <w:t>av cietušās personas pieteikuma tādā kriminālprocesā, kuru var uzsākt tikai uz šīs personas pieteikuma pamata (KPL 377. panta 8. punkts) ir personu reabilitējošs apstāklis, arī paredzētajam pamatam, kad cietušais atsauc iesniegumu, ir jābūt reabilitējoša</w:t>
            </w:r>
            <w:r w:rsidR="002B3EF4">
              <w:rPr>
                <w:shd w:val="clear" w:color="auto" w:fill="FFFFFF"/>
              </w:rPr>
              <w:t>m</w:t>
            </w:r>
            <w:r w:rsidRPr="00E339E0">
              <w:rPr>
                <w:shd w:val="clear" w:color="auto" w:fill="FFFFFF"/>
              </w:rPr>
              <w:t xml:space="preserve"> apstāklim. </w:t>
            </w:r>
          </w:p>
          <w:bookmarkEnd w:id="6"/>
          <w:p w14:paraId="0669CB12" w14:textId="3E937673" w:rsidR="00040B93" w:rsidRPr="00E339E0" w:rsidRDefault="00F05293" w:rsidP="00120F33">
            <w:pPr>
              <w:pStyle w:val="Paraststmeklis"/>
              <w:spacing w:before="0" w:beforeAutospacing="0" w:after="0" w:afterAutospacing="0"/>
              <w:jc w:val="both"/>
            </w:pPr>
            <w:r w:rsidRPr="00E339E0">
              <w:lastRenderedPageBreak/>
              <w:t xml:space="preserve">Grozījums </w:t>
            </w:r>
            <w:r w:rsidRPr="00F05293">
              <w:rPr>
                <w:b/>
                <w:bCs/>
              </w:rPr>
              <w:t>KPL 439.</w:t>
            </w:r>
            <w:r w:rsidRPr="00F05293">
              <w:rPr>
                <w:b/>
                <w:bCs/>
                <w:vertAlign w:val="superscript"/>
              </w:rPr>
              <w:t>1</w:t>
            </w:r>
            <w:r w:rsidRPr="00F05293">
              <w:rPr>
                <w:b/>
                <w:bCs/>
              </w:rPr>
              <w:t xml:space="preserve"> panta trešajā daļā</w:t>
            </w:r>
            <w:r w:rsidRPr="00E339E0">
              <w:t xml:space="preserve"> paredz noteikt, ka turpmāk arī prokurors, kā procesa virzītājs, varēs pieņem</w:t>
            </w:r>
            <w:r w:rsidR="00C9653E">
              <w:t>t</w:t>
            </w:r>
            <w:r w:rsidRPr="00E339E0">
              <w:t xml:space="preserve"> </w:t>
            </w:r>
            <w:r w:rsidRPr="00E339E0">
              <w:rPr>
                <w:shd w:val="clear" w:color="auto" w:fill="FFFFFF"/>
              </w:rPr>
              <w:t xml:space="preserve">lēmumu par piespiedu ietekmēšanas līdzekļa piemērošanas procesā konstatēto apstākļu maiņu. Ņemot vērā, ka arī pēc lietas nodošanas kriminālvajāšanai, prokurors var konstatēt apstākļu maiņu un, lai nodrošinātu kriminālprocesa mērķu sasniegšanu, tostarp, ir nepieciešams nodrošināt, ka visi lēmumā par piespiedu ietekmēšanas līdzekļa </w:t>
            </w:r>
            <w:r w:rsidR="00FF4104" w:rsidRPr="00E339E0">
              <w:rPr>
                <w:shd w:val="clear" w:color="auto" w:fill="FFFFFF"/>
              </w:rPr>
              <w:t>piemērošan</w:t>
            </w:r>
            <w:r w:rsidR="00FF4104">
              <w:rPr>
                <w:shd w:val="clear" w:color="auto" w:fill="FFFFFF"/>
              </w:rPr>
              <w:t>u</w:t>
            </w:r>
            <w:r w:rsidR="00FF4104" w:rsidRPr="00E339E0">
              <w:rPr>
                <w:shd w:val="clear" w:color="auto" w:fill="FFFFFF"/>
              </w:rPr>
              <w:t xml:space="preserve"> </w:t>
            </w:r>
            <w:r w:rsidRPr="00E339E0">
              <w:rPr>
                <w:shd w:val="clear" w:color="auto" w:fill="FFFFFF"/>
              </w:rPr>
              <w:t xml:space="preserve">procesā norādītie apstākļi ir korekti, šādas tiesības ir nepieciešams piešķirt arī prokuroram </w:t>
            </w:r>
            <w:proofErr w:type="spellStart"/>
            <w:r w:rsidRPr="00E339E0">
              <w:rPr>
                <w:shd w:val="clear" w:color="auto" w:fill="FFFFFF"/>
              </w:rPr>
              <w:t>pirmstiesas</w:t>
            </w:r>
            <w:proofErr w:type="spellEnd"/>
            <w:r w:rsidRPr="00E339E0">
              <w:rPr>
                <w:shd w:val="clear" w:color="auto" w:fill="FFFFFF"/>
              </w:rPr>
              <w:t xml:space="preserve"> procesā.</w:t>
            </w:r>
            <w:r w:rsidR="00227B29">
              <w:rPr>
                <w:shd w:val="clear" w:color="auto" w:fill="FFFFFF"/>
              </w:rPr>
              <w:t xml:space="preserve"> Attiecīgi sagatavots arī grozījum</w:t>
            </w:r>
            <w:bookmarkStart w:id="7" w:name="_Hlk22898670"/>
            <w:r w:rsidR="00227B29">
              <w:rPr>
                <w:shd w:val="clear" w:color="auto" w:fill="FFFFFF"/>
              </w:rPr>
              <w:t xml:space="preserve">s </w:t>
            </w:r>
            <w:r w:rsidR="00227B29" w:rsidRPr="00F05293">
              <w:rPr>
                <w:b/>
                <w:bCs/>
              </w:rPr>
              <w:t>KPL 547.</w:t>
            </w:r>
            <w:r w:rsidR="00227B29" w:rsidRPr="00F05293">
              <w:rPr>
                <w:b/>
                <w:bCs/>
                <w:vertAlign w:val="superscript"/>
              </w:rPr>
              <w:t>1  </w:t>
            </w:r>
            <w:r w:rsidR="00227B29" w:rsidRPr="00F05293">
              <w:rPr>
                <w:b/>
                <w:bCs/>
              </w:rPr>
              <w:t>pantā</w:t>
            </w:r>
            <w:r w:rsidR="00227B29" w:rsidRPr="00227B29">
              <w:t>, kas</w:t>
            </w:r>
            <w:r w:rsidR="00227B29" w:rsidRPr="00AA718F">
              <w:t xml:space="preserve"> paredz noteikt prokurora rīcību gadījumos, ja </w:t>
            </w:r>
            <w:r w:rsidR="00227B29" w:rsidRPr="00120F33">
              <w:rPr>
                <w:u w:val="single"/>
              </w:rPr>
              <w:t>iztiesāšanas</w:t>
            </w:r>
            <w:r w:rsidR="00227B29" w:rsidRPr="00AA718F">
              <w:t xml:space="preserve"> laikā ir mainījušies lēmumā par piespiedu ietekmēšanas līdzekļa piemērošanas procesa uzsākšanu norādītie noziedzīgā nodarījuma izdarīšanas apstākļi, noziedzīgā nodarījuma </w:t>
            </w:r>
            <w:r w:rsidR="00FF4104" w:rsidRPr="00AA718F">
              <w:t>juridisk</w:t>
            </w:r>
            <w:r w:rsidR="00FF4104">
              <w:t>ā</w:t>
            </w:r>
            <w:r w:rsidR="00FF4104" w:rsidRPr="00AA718F">
              <w:t xml:space="preserve"> </w:t>
            </w:r>
            <w:r w:rsidR="00227B29" w:rsidRPr="00AA718F">
              <w:t xml:space="preserve">kvalifikācija vai pamatojums pieņēmumam, ka izmeklējamais noziedzīgais nodarījums, visticamāk, izdarīts juridiskās personas interesēs, labā vai nepienācīgas pārraudzības vai kontroles rezultātā. </w:t>
            </w:r>
            <w:r w:rsidR="00227B29">
              <w:t xml:space="preserve">Praksē radās situācijas, kad </w:t>
            </w:r>
            <w:r w:rsidR="00227B29" w:rsidRPr="00E05BA5">
              <w:rPr>
                <w:color w:val="000000"/>
              </w:rPr>
              <w:t>kriminālprocesā apsūdzētajai personai KPL 462. panta kārtībā tiek grozīta apsūdzība uz vieglāku vai smagāku</w:t>
            </w:r>
            <w:r w:rsidR="00227B29">
              <w:rPr>
                <w:color w:val="000000"/>
              </w:rPr>
              <w:t xml:space="preserve">, bet vienlaikus </w:t>
            </w:r>
            <w:r w:rsidR="00227B29" w:rsidRPr="00E05BA5">
              <w:rPr>
                <w:color w:val="000000"/>
              </w:rPr>
              <w:t>procesā par piespiedu ietekmēšanas līdzekļu piemērošanu juridiskajai personai</w:t>
            </w:r>
            <w:r w:rsidR="00227B29">
              <w:rPr>
                <w:color w:val="000000"/>
              </w:rPr>
              <w:t xml:space="preserve"> lēmums netiek grozīts, tādējādi </w:t>
            </w:r>
            <w:r w:rsidR="00227B29" w:rsidRPr="00AA718F">
              <w:t>lēmumā par piespiedu ietekmēšanas līdzekļa piemērošanas procesa uzsākšanu</w:t>
            </w:r>
            <w:r w:rsidR="00227B29">
              <w:t xml:space="preserve"> var tikt atspoguļota neprecīza informācija. Ievērojot minēto, praktiķi norādīja uz nepieciešamību KPL paredzēt arī regulējumu </w:t>
            </w:r>
            <w:r w:rsidR="00227B29" w:rsidRPr="00AA718F">
              <w:t>lēmum</w:t>
            </w:r>
            <w:r w:rsidR="00227B29">
              <w:t>a</w:t>
            </w:r>
            <w:r w:rsidR="00227B29" w:rsidRPr="00AA718F">
              <w:t xml:space="preserve"> par piespiedu ietekmēšanas līdzekļa piemērošanas procesa uzsākšanu</w:t>
            </w:r>
            <w:r w:rsidR="00227B29">
              <w:t xml:space="preserve"> grozīšanai. </w:t>
            </w:r>
            <w:bookmarkEnd w:id="7"/>
            <w:r w:rsidR="00040B93">
              <w:t xml:space="preserve">Norādāms, ka prokurors par pieņemto lēmumu paziņo </w:t>
            </w:r>
            <w:r w:rsidR="00780760">
              <w:t>juridiskās personas pārstāvim</w:t>
            </w:r>
            <w:r w:rsidR="00040B93">
              <w:t xml:space="preserve">, to izsniedzot. </w:t>
            </w:r>
          </w:p>
          <w:p w14:paraId="6CCB825B" w14:textId="54CE58EC" w:rsidR="00F05293" w:rsidRPr="00A433C1" w:rsidRDefault="00F05293" w:rsidP="00F05293">
            <w:pPr>
              <w:pStyle w:val="tv213"/>
              <w:shd w:val="clear" w:color="auto" w:fill="FFFFFF"/>
              <w:spacing w:before="0" w:beforeAutospacing="0" w:after="0" w:afterAutospacing="0"/>
              <w:jc w:val="both"/>
            </w:pPr>
            <w:r w:rsidRPr="001E3318">
              <w:t xml:space="preserve">Grozījums </w:t>
            </w:r>
            <w:r w:rsidRPr="00F05293">
              <w:rPr>
                <w:b/>
                <w:bCs/>
              </w:rPr>
              <w:t>KPL 460. pantā</w:t>
            </w:r>
            <w:r w:rsidRPr="001E3318">
              <w:t xml:space="preserve"> paredz noteikt, ka tiesas lēmums par </w:t>
            </w:r>
            <w:r w:rsidRPr="001E3318">
              <w:rPr>
                <w:shd w:val="clear" w:color="auto" w:fill="FFFFFF"/>
              </w:rPr>
              <w:t xml:space="preserve">kriminālprocesa izbeigšanu sakarā ar prokurora atteikšanos no apsūdzības nav pārsūdzams. Atbilstoši KPL 459. pantam, </w:t>
            </w:r>
            <w:r w:rsidRPr="001E3318">
              <w:t>ja krimināllietas iztiesāšanas gaitā prokurors atzīst, ka apsūdzība pilnīgi vai daļēji nav apstiprinājusies, viņa pienākums ir pilnīgi vai daļēji atteikties no apsūdzības, iesniedzot tiesai amatā augstāka prokurora apstiprinātu atteikuma motivāciju. Prokurors var atteikties no apsūdzības līdz tiesas aiziešanai uz apspriežu istabu sprieduma taisīšanai. Attiecīgi saskaņā ar KPL 460. pantu, j</w:t>
            </w:r>
            <w:r w:rsidRPr="001E3318">
              <w:rPr>
                <w:shd w:val="clear" w:color="auto" w:fill="FFFFFF"/>
              </w:rPr>
              <w:t>a prokurors atsakās no apsūdzības, neievērojot šā likuma 459.</w:t>
            </w:r>
            <w:r>
              <w:rPr>
                <w:shd w:val="clear" w:color="auto" w:fill="FFFFFF"/>
              </w:rPr>
              <w:t> </w:t>
            </w:r>
            <w:r w:rsidRPr="001E3318">
              <w:rPr>
                <w:shd w:val="clear" w:color="auto" w:fill="FFFFFF"/>
              </w:rPr>
              <w:t>panta pirmajā daļā noteikto kārtību, tiesa pasludina tiesas sēdes pārtraukumu. Ja triju darba dienu laikā amatā augstāks prokurors līdz tiesas sēdes atsākšanai nenomaina apsūdzības uzturētāju un neatjauno apsūdzības uzturēšanu, tiesa pieņem lēmumu par kriminālprocesa izbeigšanu sakarā ar prokurora atteikšanos no apsūdzības. Atbilstoši KPL 481. panta pirmās daļas 2. punktam, tiesa izbeidz kriminālprocesu vai tā daļu, ja prokurors ir atteicies no apsūdzības. Šobrīd š</w:t>
            </w:r>
            <w:r w:rsidRPr="001E3318">
              <w:t xml:space="preserve">āds tiesas lēmums ir pārsūdzams </w:t>
            </w:r>
            <w:r w:rsidRPr="001E3318">
              <w:lastRenderedPageBreak/>
              <w:t xml:space="preserve">tikai </w:t>
            </w:r>
            <w:r w:rsidR="00120F33">
              <w:t>kopā</w:t>
            </w:r>
            <w:r w:rsidRPr="001E3318">
              <w:t xml:space="preserve"> ar tiesas pieņemto galīgo nolēmumu kriminālprocesā. Ņemot vērā, ka prokurors īsteno valsts apsūdzības funkcijas, atzīstams, ka šādu lēmumu pārsūdzība nav pamatota. Proti, atbilstoši KPL 402.</w:t>
            </w:r>
            <w:r>
              <w:t> </w:t>
            </w:r>
            <w:r w:rsidRPr="001E3318">
              <w:t>pantam p</w:t>
            </w:r>
            <w:r w:rsidRPr="00173601">
              <w:t xml:space="preserve">ersonu sauc pie kriminālatbildības, ja izmeklēšanā savāktie pierādījumi norāda uz šīs personas vainu izmeklējamā noziedzīgā nodarījumā un </w:t>
            </w:r>
            <w:r w:rsidRPr="00120F33">
              <w:rPr>
                <w:u w:val="single"/>
              </w:rPr>
              <w:t>prokurors ir pārliecināts, ka pierādījumi to apstiprina</w:t>
            </w:r>
            <w:r w:rsidRPr="00173601">
              <w:t>.</w:t>
            </w:r>
            <w:r w:rsidRPr="001E3318">
              <w:t xml:space="preserve"> Līdz ar to gadījumā, ja prokurors atzīst, ka apsūdzība pilnīgi vai daļēji nav apstiprinājusies, prokuroram nav tiesību turpināt uzturēt apsūdzību. Turklāt atbilstoši KPL regulējumam, prokurora atteikšanos no apsūdzības apstiprina amatā augstāks prokurors. Attiecīgi, situācijā, ja šāds lēmums tiek pārsūdzēts un tiesa to apmierinātu, prokuroram būtu jāturpina uzturēt apsūdzība, par kuru viņš un amatā augstāks prokurors jau ir pārliecināj</w:t>
            </w:r>
            <w:r w:rsidR="00120F33">
              <w:t>ušies</w:t>
            </w:r>
            <w:r w:rsidRPr="001E3318">
              <w:t>, ka tā nav apstiprinājusies. Ievērojot minēto šāda lēmuma pārsūdzība nav pamatota. Vienlaikus norādāms, ka saskaņā ar KPL 460. panta trešo daļu p</w:t>
            </w:r>
            <w:r w:rsidRPr="001E3318">
              <w:rPr>
                <w:shd w:val="clear" w:color="auto" w:fill="FFFFFF"/>
              </w:rPr>
              <w:t>rokurora atteikšanās no apsūdzības nav šķērslis kaitējuma atlīdzības pieprasīšanai Civilprocesa likumā noteiktajā kārtībā, līdz ar to cietušais joprojām ir tiesīgs saņemt kaitējuma atlīdzību, ja tāda ir radusies.</w:t>
            </w:r>
            <w:r>
              <w:rPr>
                <w:shd w:val="clear" w:color="auto" w:fill="FFFFFF"/>
              </w:rPr>
              <w:t xml:space="preserve"> </w:t>
            </w:r>
          </w:p>
          <w:p w14:paraId="01917D13" w14:textId="42CC77FE" w:rsidR="00F05293" w:rsidRDefault="00F05293" w:rsidP="00F0529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Grozījums </w:t>
            </w:r>
            <w:r w:rsidRPr="00F05293">
              <w:rPr>
                <w:rFonts w:ascii="Times New Roman" w:hAnsi="Times New Roman" w:cs="Times New Roman"/>
                <w:b/>
                <w:bCs/>
                <w:sz w:val="24"/>
                <w:szCs w:val="24"/>
              </w:rPr>
              <w:t>KPL 481. pantā</w:t>
            </w:r>
            <w:r>
              <w:rPr>
                <w:rFonts w:ascii="Times New Roman" w:hAnsi="Times New Roman" w:cs="Times New Roman"/>
                <w:sz w:val="24"/>
                <w:szCs w:val="24"/>
              </w:rPr>
              <w:t xml:space="preserve"> paredz izteikt panta trešo daļu jaunā redakcijā, paplašinot izlemjamo jautājumu loku</w:t>
            </w:r>
            <w:r w:rsidR="00FF4104">
              <w:rPr>
                <w:rFonts w:ascii="Times New Roman" w:hAnsi="Times New Roman" w:cs="Times New Roman"/>
                <w:sz w:val="24"/>
                <w:szCs w:val="24"/>
              </w:rPr>
              <w:t>,</w:t>
            </w:r>
            <w:r>
              <w:rPr>
                <w:rFonts w:ascii="Times New Roman" w:hAnsi="Times New Roman" w:cs="Times New Roman"/>
                <w:sz w:val="24"/>
                <w:szCs w:val="24"/>
              </w:rPr>
              <w:t xml:space="preserve"> izbeidzot kriminālprocesu tiesas sēdē. Grozījums ir saistīts ar to, ka jautājumu loks, kas būtu izlemjams</w:t>
            </w:r>
            <w:r w:rsidR="00E211F4">
              <w:rPr>
                <w:rFonts w:ascii="Times New Roman" w:hAnsi="Times New Roman" w:cs="Times New Roman"/>
                <w:sz w:val="24"/>
                <w:szCs w:val="24"/>
              </w:rPr>
              <w:t>,</w:t>
            </w:r>
            <w:r w:rsidR="00120F33">
              <w:rPr>
                <w:rFonts w:ascii="Times New Roman" w:hAnsi="Times New Roman" w:cs="Times New Roman"/>
                <w:sz w:val="24"/>
                <w:szCs w:val="24"/>
              </w:rPr>
              <w:t xml:space="preserve"> izbeidzot kriminālprocesu, </w:t>
            </w:r>
            <w:r>
              <w:rPr>
                <w:rFonts w:ascii="Times New Roman" w:hAnsi="Times New Roman" w:cs="Times New Roman"/>
                <w:sz w:val="24"/>
                <w:szCs w:val="24"/>
              </w:rPr>
              <w:t xml:space="preserve">ir paplašinājies kopš šīs normas izstrādes, piemēram, tas neietver visu mantisko jautājumu izlemšanu. Ņemot vērā, ka jautājumu loks, kas būtu izlemjams ir plašs un ir atkarīgs no konkrētā kriminālprocesa apstākļiem, eksperti nonāca pie secinājuma, ka panta trešā daļa ir </w:t>
            </w:r>
            <w:r w:rsidRPr="00AA718F">
              <w:rPr>
                <w:rFonts w:ascii="Times New Roman" w:hAnsi="Times New Roman" w:cs="Times New Roman"/>
                <w:sz w:val="24"/>
                <w:szCs w:val="24"/>
              </w:rPr>
              <w:t>jāveido vispārīgi, lai tiesnesis varētu izlemt visus jautājumus izbeidzot kriminālprocesu. Atbilstoši grozījumam turpmāk lēmumā par kriminālprocesa izbeigšanu, tiesnesis izlemj arī jautājumu par piemērot</w:t>
            </w:r>
            <w:r w:rsidR="00E211F4">
              <w:rPr>
                <w:rFonts w:ascii="Times New Roman" w:hAnsi="Times New Roman" w:cs="Times New Roman"/>
                <w:sz w:val="24"/>
                <w:szCs w:val="24"/>
              </w:rPr>
              <w:t>ajiem</w:t>
            </w:r>
            <w:r w:rsidRPr="00AA718F">
              <w:rPr>
                <w:rFonts w:ascii="Times New Roman" w:hAnsi="Times New Roman" w:cs="Times New Roman"/>
                <w:sz w:val="24"/>
                <w:szCs w:val="24"/>
              </w:rPr>
              <w:t xml:space="preserve"> procesuālajiem piespiedu līdzekļiem, rīcību ar </w:t>
            </w:r>
            <w:r w:rsidRPr="00AA718F">
              <w:rPr>
                <w:rFonts w:ascii="Times New Roman" w:hAnsi="Times New Roman" w:cs="Times New Roman"/>
                <w:sz w:val="24"/>
                <w:szCs w:val="24"/>
                <w:shd w:val="clear" w:color="auto" w:fill="FFFFFF"/>
              </w:rPr>
              <w:t xml:space="preserve">lietiskajiem pierādījumiem, </w:t>
            </w:r>
            <w:r w:rsidRPr="00AA718F">
              <w:rPr>
                <w:rFonts w:ascii="Times New Roman" w:eastAsia="Times New Roman" w:hAnsi="Times New Roman" w:cs="Times New Roman"/>
                <w:sz w:val="24"/>
                <w:szCs w:val="24"/>
                <w:lang w:eastAsia="lv-LV"/>
              </w:rPr>
              <w:t>izņemtajiem priekšmetiem, dokumentiem un vērtībām</w:t>
            </w:r>
            <w:r w:rsidRPr="00AA718F">
              <w:rPr>
                <w:rFonts w:ascii="Times New Roman" w:hAnsi="Times New Roman" w:cs="Times New Roman"/>
                <w:sz w:val="24"/>
                <w:szCs w:val="24"/>
                <w:shd w:val="clear" w:color="auto" w:fill="FFFFFF"/>
              </w:rPr>
              <w:t xml:space="preserve">, kā arī </w:t>
            </w:r>
            <w:r w:rsidRPr="00AA718F">
              <w:rPr>
                <w:rFonts w:ascii="Times New Roman" w:hAnsi="Times New Roman" w:cs="Times New Roman"/>
                <w:sz w:val="24"/>
                <w:szCs w:val="24"/>
              </w:rPr>
              <w:t>mantiskajiem jautājumiem, t.i.</w:t>
            </w:r>
            <w:r w:rsidR="00E211F4">
              <w:rPr>
                <w:rFonts w:ascii="Times New Roman" w:hAnsi="Times New Roman" w:cs="Times New Roman"/>
                <w:sz w:val="24"/>
                <w:szCs w:val="24"/>
              </w:rPr>
              <w:t>,</w:t>
            </w:r>
            <w:r w:rsidRPr="00AA718F">
              <w:rPr>
                <w:rFonts w:ascii="Times New Roman" w:hAnsi="Times New Roman" w:cs="Times New Roman"/>
                <w:sz w:val="24"/>
                <w:szCs w:val="24"/>
              </w:rPr>
              <w:t xml:space="preserve"> visiem jautājumiem, kas regulēti KPL sestajā sadaļā</w:t>
            </w:r>
            <w:r w:rsidR="00120F33">
              <w:rPr>
                <w:rFonts w:ascii="Times New Roman" w:hAnsi="Times New Roman" w:cs="Times New Roman"/>
                <w:sz w:val="24"/>
                <w:szCs w:val="24"/>
              </w:rPr>
              <w:t xml:space="preserve"> "</w:t>
            </w:r>
            <w:r w:rsidR="00120F33" w:rsidRPr="00120F33">
              <w:rPr>
                <w:rFonts w:ascii="Times New Roman" w:hAnsi="Times New Roman" w:cs="Times New Roman"/>
                <w:sz w:val="24"/>
                <w:szCs w:val="24"/>
              </w:rPr>
              <w:t>Mantiskie jautājumi kriminālprocesā</w:t>
            </w:r>
            <w:r w:rsidR="00120F33">
              <w:rPr>
                <w:rFonts w:ascii="Times New Roman" w:hAnsi="Times New Roman" w:cs="Times New Roman"/>
                <w:sz w:val="24"/>
                <w:szCs w:val="24"/>
              </w:rPr>
              <w:t>"</w:t>
            </w:r>
            <w:r w:rsidRPr="00AA718F">
              <w:rPr>
                <w:rFonts w:ascii="Times New Roman" w:hAnsi="Times New Roman" w:cs="Times New Roman"/>
                <w:sz w:val="24"/>
                <w:szCs w:val="24"/>
              </w:rPr>
              <w:t>, tostarp, aresta atcelšanu, rīcību ar noziedzīgi iegūtu mantu u.c. jautājumiem.</w:t>
            </w:r>
          </w:p>
          <w:p w14:paraId="7D6E5D48" w14:textId="77777777" w:rsidR="00C9653E" w:rsidRPr="00DA4ADA" w:rsidRDefault="00C9653E" w:rsidP="00C9653E">
            <w:pPr>
              <w:spacing w:after="0" w:line="240" w:lineRule="auto"/>
              <w:jc w:val="both"/>
              <w:rPr>
                <w:rFonts w:ascii="Times New Roman" w:hAnsi="Times New Roman" w:cs="Times New Roman"/>
                <w:sz w:val="24"/>
                <w:szCs w:val="24"/>
                <w:shd w:val="clear" w:color="auto" w:fill="FFFFFF"/>
              </w:rPr>
            </w:pPr>
            <w:r w:rsidRPr="00DA4ADA">
              <w:rPr>
                <w:rFonts w:ascii="Times New Roman" w:hAnsi="Times New Roman" w:cs="Times New Roman"/>
                <w:sz w:val="24"/>
                <w:szCs w:val="24"/>
                <w:shd w:val="clear" w:color="auto" w:fill="FFFFFF"/>
              </w:rPr>
              <w:t xml:space="preserve">Grozījums </w:t>
            </w:r>
            <w:r w:rsidRPr="00DA4ADA">
              <w:rPr>
                <w:rFonts w:ascii="Times New Roman" w:hAnsi="Times New Roman" w:cs="Times New Roman"/>
                <w:b/>
                <w:bCs/>
                <w:sz w:val="24"/>
                <w:szCs w:val="24"/>
                <w:shd w:val="clear" w:color="auto" w:fill="FFFFFF"/>
              </w:rPr>
              <w:t>KPL 634. panta ceturtajā daļā</w:t>
            </w:r>
            <w:r w:rsidRPr="00DA4ADA">
              <w:rPr>
                <w:rFonts w:ascii="Times New Roman" w:hAnsi="Times New Roman" w:cs="Times New Roman"/>
                <w:sz w:val="24"/>
                <w:szCs w:val="24"/>
                <w:shd w:val="clear" w:color="auto" w:fill="FFFFFF"/>
              </w:rPr>
              <w:t xml:space="preserve"> paredz papildināt gadījumus, kad nolēmumu vai prokurora priekšrakstu par sodu </w:t>
            </w:r>
            <w:proofErr w:type="spellStart"/>
            <w:r w:rsidRPr="00DA4ADA">
              <w:rPr>
                <w:rFonts w:ascii="Times New Roman" w:hAnsi="Times New Roman" w:cs="Times New Roman"/>
                <w:sz w:val="24"/>
                <w:szCs w:val="24"/>
                <w:shd w:val="clear" w:color="auto" w:fill="FFFFFF"/>
              </w:rPr>
              <w:t>nosūta</w:t>
            </w:r>
            <w:proofErr w:type="spellEnd"/>
            <w:r w:rsidRPr="00DA4ADA">
              <w:rPr>
                <w:rFonts w:ascii="Times New Roman" w:hAnsi="Times New Roman" w:cs="Times New Roman"/>
                <w:sz w:val="24"/>
                <w:szCs w:val="24"/>
                <w:shd w:val="clear" w:color="auto" w:fill="FFFFFF"/>
              </w:rPr>
              <w:t xml:space="preserve"> Valsts policijai personas aizturēšanai un nodošanai brīvības atņemšanas iestādei, paredzot, ka tas ir nosūtāms arī, ja piespiedu darbs vai naudas sods aizstāts ar brīvības atņemšanu. </w:t>
            </w:r>
            <w:r w:rsidRPr="00DA4ADA">
              <w:rPr>
                <w:rFonts w:ascii="Times New Roman" w:eastAsia="Times New Roman" w:hAnsi="Times New Roman" w:cs="Times New Roman"/>
                <w:sz w:val="24"/>
                <w:szCs w:val="24"/>
              </w:rPr>
              <w:t xml:space="preserve">Šobrīd KPL 634. panta ceturtās daļas 6. punkts noteic, ka nolēmumu vai prokurora priekšrakstu </w:t>
            </w:r>
            <w:proofErr w:type="spellStart"/>
            <w:r w:rsidRPr="00DA4ADA">
              <w:rPr>
                <w:rFonts w:ascii="Times New Roman" w:eastAsia="Times New Roman" w:hAnsi="Times New Roman" w:cs="Times New Roman"/>
                <w:sz w:val="24"/>
                <w:szCs w:val="24"/>
              </w:rPr>
              <w:t>nosūta</w:t>
            </w:r>
            <w:proofErr w:type="spellEnd"/>
            <w:r w:rsidRPr="00DA4ADA">
              <w:rPr>
                <w:rFonts w:ascii="Times New Roman" w:eastAsia="Times New Roman" w:hAnsi="Times New Roman" w:cs="Times New Roman"/>
                <w:sz w:val="24"/>
                <w:szCs w:val="24"/>
              </w:rPr>
              <w:t xml:space="preserve"> Valsts policijai </w:t>
            </w:r>
            <w:r w:rsidRPr="00DA4ADA">
              <w:rPr>
                <w:rFonts w:ascii="Times New Roman" w:eastAsia="Times New Roman" w:hAnsi="Times New Roman" w:cs="Times New Roman"/>
                <w:sz w:val="24"/>
                <w:szCs w:val="24"/>
                <w:bdr w:val="none" w:sz="0" w:space="0" w:color="auto" w:frame="1"/>
                <w:shd w:val="clear" w:color="auto" w:fill="FFFFFF"/>
              </w:rPr>
              <w:t xml:space="preserve">personas aizturēšanai un nodošanai brīvības atņemšanas iestādei, ja piespiedu darbs vai naudas sods aizstāts ar īslaicīgu brīvības </w:t>
            </w:r>
            <w:r w:rsidRPr="00DA4ADA">
              <w:rPr>
                <w:rFonts w:ascii="Times New Roman" w:eastAsia="Times New Roman" w:hAnsi="Times New Roman" w:cs="Times New Roman"/>
                <w:sz w:val="24"/>
                <w:szCs w:val="24"/>
                <w:bdr w:val="none" w:sz="0" w:space="0" w:color="auto" w:frame="1"/>
                <w:shd w:val="clear" w:color="auto" w:fill="FFFFFF"/>
              </w:rPr>
              <w:lastRenderedPageBreak/>
              <w:t>atņemšanu vai </w:t>
            </w:r>
            <w:r w:rsidRPr="00DA4ADA">
              <w:rPr>
                <w:rFonts w:ascii="Times New Roman" w:eastAsia="Times New Roman" w:hAnsi="Times New Roman" w:cs="Times New Roman"/>
                <w:sz w:val="24"/>
                <w:szCs w:val="24"/>
                <w:u w:val="single"/>
                <w:bdr w:val="none" w:sz="0" w:space="0" w:color="auto" w:frame="1"/>
                <w:shd w:val="clear" w:color="auto" w:fill="FFFFFF"/>
              </w:rPr>
              <w:t>piemērots</w:t>
            </w:r>
            <w:r w:rsidRPr="00DA4ADA">
              <w:rPr>
                <w:rFonts w:ascii="Times New Roman" w:eastAsia="Times New Roman" w:hAnsi="Times New Roman" w:cs="Times New Roman"/>
                <w:sz w:val="24"/>
                <w:szCs w:val="24"/>
                <w:bdr w:val="none" w:sz="0" w:space="0" w:color="auto" w:frame="1"/>
                <w:shd w:val="clear" w:color="auto" w:fill="FFFFFF"/>
              </w:rPr>
              <w:t> brīvības atņemšanas sods un persona neatrodas ieslodzījumā. Attiecīgi </w:t>
            </w:r>
            <w:r w:rsidRPr="00DA4ADA">
              <w:rPr>
                <w:rFonts w:ascii="Times New Roman" w:eastAsia="Times New Roman" w:hAnsi="Times New Roman" w:cs="Times New Roman"/>
                <w:sz w:val="24"/>
                <w:szCs w:val="24"/>
                <w:bdr w:val="none" w:sz="0" w:space="0" w:color="auto" w:frame="1"/>
              </w:rPr>
              <w:t>Latvijas Sodu izpildes kodeksa (turpmāk - Kodeksa) 15. panta ceturtās daļas pirmais teikums šobrīd noteic, ka </w:t>
            </w:r>
            <w:r w:rsidRPr="00DA4ADA">
              <w:rPr>
                <w:rFonts w:ascii="Times New Roman" w:eastAsia="Times New Roman" w:hAnsi="Times New Roman" w:cs="Times New Roman"/>
                <w:sz w:val="24"/>
                <w:szCs w:val="24"/>
                <w:bdr w:val="none" w:sz="0" w:space="0" w:color="auto" w:frame="1"/>
                <w:shd w:val="clear" w:color="auto" w:fill="FFFFFF"/>
              </w:rPr>
              <w:t>Valsts policija aizturēto personu, kurai piespiedu darbs vai naudas sods aizstāts ar īslaicīgu brīvības atņemšanu vai kurai </w:t>
            </w:r>
            <w:r w:rsidRPr="00DA4ADA">
              <w:rPr>
                <w:rFonts w:ascii="Times New Roman" w:eastAsia="Times New Roman" w:hAnsi="Times New Roman" w:cs="Times New Roman"/>
                <w:sz w:val="24"/>
                <w:szCs w:val="24"/>
                <w:u w:val="single"/>
                <w:bdr w:val="none" w:sz="0" w:space="0" w:color="auto" w:frame="1"/>
                <w:shd w:val="clear" w:color="auto" w:fill="FFFFFF"/>
              </w:rPr>
              <w:t>piemērots</w:t>
            </w:r>
            <w:r w:rsidRPr="00DA4ADA">
              <w:rPr>
                <w:rFonts w:ascii="Times New Roman" w:eastAsia="Times New Roman" w:hAnsi="Times New Roman" w:cs="Times New Roman"/>
                <w:sz w:val="24"/>
                <w:szCs w:val="24"/>
                <w:bdr w:val="none" w:sz="0" w:space="0" w:color="auto" w:frame="1"/>
                <w:shd w:val="clear" w:color="auto" w:fill="FFFFFF"/>
              </w:rPr>
              <w:t> brīvības atņemšanas sods un kura neatrodas ieslodzījumā, septiņu darba dienu laikā no tās aizturēšanas nodod brīvības atņemšanas iestādei soda izciešanai.</w:t>
            </w:r>
            <w:r w:rsidRPr="00DA4ADA">
              <w:rPr>
                <w:rFonts w:ascii="Times New Roman" w:hAnsi="Times New Roman" w:cs="Times New Roman"/>
                <w:sz w:val="24"/>
                <w:szCs w:val="24"/>
                <w:shd w:val="clear" w:color="auto" w:fill="FFFFFF"/>
              </w:rPr>
              <w:t xml:space="preserve"> </w:t>
            </w:r>
            <w:r w:rsidRPr="00DA4ADA">
              <w:rPr>
                <w:rFonts w:ascii="Times New Roman" w:eastAsia="Times New Roman" w:hAnsi="Times New Roman" w:cs="Times New Roman"/>
                <w:sz w:val="24"/>
                <w:szCs w:val="24"/>
                <w:bdr w:val="none" w:sz="0" w:space="0" w:color="auto" w:frame="1"/>
                <w:shd w:val="clear" w:color="auto" w:fill="FFFFFF"/>
              </w:rPr>
              <w:t>Atbilstoši KL 41. panta sestajā daļā noteiktajam naudas sods noteiktos gadījumos var tikt aizstāts ne tikai ar īslaicīgu brīvības atņemšanu, bet arī ar brīvības atņemšanu. Atbilstoši KL 45.</w:t>
            </w:r>
            <w:r w:rsidRPr="00DA4ADA">
              <w:rPr>
                <w:rFonts w:ascii="Times New Roman" w:eastAsia="Times New Roman" w:hAnsi="Times New Roman" w:cs="Times New Roman"/>
                <w:sz w:val="24"/>
                <w:szCs w:val="24"/>
                <w:bdr w:val="none" w:sz="0" w:space="0" w:color="auto" w:frame="1"/>
                <w:shd w:val="clear" w:color="auto" w:fill="FFFFFF"/>
                <w:vertAlign w:val="superscript"/>
              </w:rPr>
              <w:t>1 </w:t>
            </w:r>
            <w:r w:rsidRPr="00DA4ADA">
              <w:rPr>
                <w:rFonts w:ascii="Times New Roman" w:eastAsia="Times New Roman" w:hAnsi="Times New Roman" w:cs="Times New Roman"/>
                <w:sz w:val="24"/>
                <w:szCs w:val="24"/>
                <w:bdr w:val="none" w:sz="0" w:space="0" w:color="auto" w:frame="1"/>
                <w:shd w:val="clear" w:color="auto" w:fill="FFFFFF"/>
              </w:rPr>
              <w:t>panta sestajā un septītajā daļā noteiktajam probācijas uzraudzība tiek aizstāta ar brīvības atņemšanu. Arī pēc 2020. gada 17. decembra likuma "Grozījumi Krimināllikumā" spēkā stāšanās atbilstoši KL 38.</w:t>
            </w:r>
            <w:r w:rsidRPr="00DA4ADA">
              <w:rPr>
                <w:rFonts w:ascii="Times New Roman" w:eastAsia="Times New Roman" w:hAnsi="Times New Roman" w:cs="Times New Roman"/>
                <w:sz w:val="24"/>
                <w:szCs w:val="24"/>
                <w:bdr w:val="none" w:sz="0" w:space="0" w:color="auto" w:frame="1"/>
                <w:shd w:val="clear" w:color="auto" w:fill="FFFFFF"/>
                <w:vertAlign w:val="superscript"/>
              </w:rPr>
              <w:t>1 </w:t>
            </w:r>
            <w:r w:rsidRPr="00DA4ADA">
              <w:rPr>
                <w:rFonts w:ascii="Times New Roman" w:eastAsia="Times New Roman" w:hAnsi="Times New Roman" w:cs="Times New Roman"/>
                <w:sz w:val="24"/>
                <w:szCs w:val="24"/>
                <w:bdr w:val="none" w:sz="0" w:space="0" w:color="auto" w:frame="1"/>
                <w:shd w:val="clear" w:color="auto" w:fill="FFFFFF"/>
              </w:rPr>
              <w:t>panta septītajai daļai probācijas uzraudzība tiks aizstāta ar brīvības atņemšanu.</w:t>
            </w:r>
            <w:r w:rsidRPr="00DA4ADA">
              <w:rPr>
                <w:rFonts w:ascii="Times New Roman" w:hAnsi="Times New Roman" w:cs="Times New Roman"/>
                <w:sz w:val="24"/>
                <w:szCs w:val="24"/>
                <w:shd w:val="clear" w:color="auto" w:fill="FFFFFF"/>
              </w:rPr>
              <w:t xml:space="preserve"> </w:t>
            </w:r>
            <w:r w:rsidRPr="00DA4ADA">
              <w:rPr>
                <w:rFonts w:ascii="Times New Roman" w:eastAsia="Times New Roman" w:hAnsi="Times New Roman" w:cs="Times New Roman"/>
                <w:sz w:val="24"/>
                <w:szCs w:val="24"/>
                <w:bdr w:val="none" w:sz="0" w:space="0" w:color="auto" w:frame="1"/>
                <w:shd w:val="clear" w:color="auto" w:fill="FFFFFF"/>
              </w:rPr>
              <w:t>Ņemot vērā minēto, ir nepieciešams precizēt KPL 634.panta ceturtās daļas 6.punktu, nosakot, ka </w:t>
            </w:r>
            <w:r w:rsidRPr="00DA4ADA">
              <w:rPr>
                <w:rFonts w:ascii="Times New Roman" w:eastAsia="Times New Roman" w:hAnsi="Times New Roman" w:cs="Times New Roman"/>
                <w:sz w:val="24"/>
                <w:szCs w:val="24"/>
              </w:rPr>
              <w:t xml:space="preserve">nolēmumu vai prokurora priekšrakstu </w:t>
            </w:r>
            <w:proofErr w:type="spellStart"/>
            <w:r w:rsidRPr="00DA4ADA">
              <w:rPr>
                <w:rFonts w:ascii="Times New Roman" w:eastAsia="Times New Roman" w:hAnsi="Times New Roman" w:cs="Times New Roman"/>
                <w:sz w:val="24"/>
                <w:szCs w:val="24"/>
              </w:rPr>
              <w:t>nosūta</w:t>
            </w:r>
            <w:proofErr w:type="spellEnd"/>
            <w:r w:rsidRPr="00DA4ADA">
              <w:rPr>
                <w:rFonts w:ascii="Times New Roman" w:eastAsia="Times New Roman" w:hAnsi="Times New Roman" w:cs="Times New Roman"/>
                <w:sz w:val="24"/>
                <w:szCs w:val="24"/>
              </w:rPr>
              <w:t xml:space="preserve"> Valsts policijai </w:t>
            </w:r>
            <w:r w:rsidRPr="00DA4ADA">
              <w:rPr>
                <w:rFonts w:ascii="Times New Roman" w:eastAsia="Times New Roman" w:hAnsi="Times New Roman" w:cs="Times New Roman"/>
                <w:sz w:val="24"/>
                <w:szCs w:val="24"/>
                <w:bdr w:val="none" w:sz="0" w:space="0" w:color="auto" w:frame="1"/>
                <w:shd w:val="clear" w:color="auto" w:fill="FFFFFF"/>
              </w:rPr>
              <w:t>personas aizturēšanai un nodošanai brīvības atņemšanas iestādei arī tajos gadījumos, kad personai ir ne tikai piemērots brīvības atņemšanas sods un persona neatrodas ieslodzījumā, bet arī gadījumos, kad </w:t>
            </w:r>
            <w:r w:rsidRPr="00DA4ADA">
              <w:rPr>
                <w:rFonts w:ascii="Times New Roman" w:eastAsia="Times New Roman" w:hAnsi="Times New Roman" w:cs="Times New Roman"/>
                <w:sz w:val="24"/>
                <w:szCs w:val="24"/>
              </w:rPr>
              <w:t>personai KL noteiktajos gadījumos sods ir </w:t>
            </w:r>
            <w:r w:rsidRPr="00DA4ADA">
              <w:rPr>
                <w:rFonts w:ascii="Times New Roman" w:eastAsia="Times New Roman" w:hAnsi="Times New Roman" w:cs="Times New Roman"/>
                <w:sz w:val="24"/>
                <w:szCs w:val="24"/>
                <w:u w:val="single"/>
              </w:rPr>
              <w:t>aizstāts</w:t>
            </w:r>
            <w:r w:rsidRPr="00DA4ADA">
              <w:rPr>
                <w:rFonts w:ascii="Times New Roman" w:eastAsia="Times New Roman" w:hAnsi="Times New Roman" w:cs="Times New Roman"/>
                <w:sz w:val="24"/>
                <w:szCs w:val="24"/>
              </w:rPr>
              <w:t> ar brīvības atņemšanas sodu un persona neatrodas ieslodzījumā</w:t>
            </w:r>
            <w:r w:rsidRPr="00DA4ADA">
              <w:rPr>
                <w:rFonts w:ascii="Times New Roman" w:eastAsia="Times New Roman" w:hAnsi="Times New Roman" w:cs="Times New Roman"/>
                <w:sz w:val="24"/>
                <w:szCs w:val="24"/>
                <w:bdr w:val="none" w:sz="0" w:space="0" w:color="auto" w:frame="1"/>
              </w:rPr>
              <w:t>.</w:t>
            </w:r>
            <w:r w:rsidRPr="00DA4ADA">
              <w:rPr>
                <w:rFonts w:ascii="Times New Roman" w:hAnsi="Times New Roman" w:cs="Times New Roman"/>
                <w:sz w:val="24"/>
                <w:szCs w:val="24"/>
                <w:shd w:val="clear" w:color="auto" w:fill="FFFFFF"/>
              </w:rPr>
              <w:t xml:space="preserve"> </w:t>
            </w:r>
          </w:p>
          <w:p w14:paraId="67FF72A7" w14:textId="77777777" w:rsidR="00C9653E" w:rsidRDefault="00C9653E" w:rsidP="00C9653E">
            <w:pPr>
              <w:spacing w:after="0" w:line="240" w:lineRule="auto"/>
              <w:jc w:val="both"/>
              <w:rPr>
                <w:rFonts w:ascii="Times New Roman" w:eastAsia="Times New Roman" w:hAnsi="Times New Roman" w:cs="Times New Roman"/>
                <w:sz w:val="24"/>
                <w:szCs w:val="24"/>
                <w:bdr w:val="none" w:sz="0" w:space="0" w:color="auto" w:frame="1"/>
                <w:shd w:val="clear" w:color="auto" w:fill="FFFFFF"/>
              </w:rPr>
            </w:pPr>
            <w:r w:rsidRPr="007334AD">
              <w:rPr>
                <w:rFonts w:ascii="Times New Roman" w:eastAsia="Times New Roman" w:hAnsi="Times New Roman" w:cs="Times New Roman"/>
                <w:sz w:val="24"/>
                <w:szCs w:val="24"/>
                <w:bdr w:val="none" w:sz="0" w:space="0" w:color="auto" w:frame="1"/>
                <w:shd w:val="clear" w:color="auto" w:fill="FFFFFF"/>
              </w:rPr>
              <w:t xml:space="preserve">Vienlaikus norādāms, ka </w:t>
            </w:r>
            <w:r>
              <w:rPr>
                <w:rFonts w:ascii="Times New Roman" w:eastAsia="Times New Roman" w:hAnsi="Times New Roman" w:cs="Times New Roman"/>
                <w:sz w:val="24"/>
                <w:szCs w:val="24"/>
                <w:bdr w:val="none" w:sz="0" w:space="0" w:color="auto" w:frame="1"/>
                <w:shd w:val="clear" w:color="auto" w:fill="FFFFFF"/>
              </w:rPr>
              <w:t xml:space="preserve">ar grozījumiem Kodeksa 15.panta ceturtajā daļā, kas stājās spēkā 2021.gada 29.jūnijā, </w:t>
            </w:r>
            <w:r w:rsidRPr="007334AD">
              <w:rPr>
                <w:rFonts w:ascii="Times New Roman" w:eastAsia="Times New Roman" w:hAnsi="Times New Roman" w:cs="Times New Roman"/>
                <w:sz w:val="24"/>
                <w:szCs w:val="24"/>
                <w:bdr w:val="none" w:sz="0" w:space="0" w:color="auto" w:frame="1"/>
                <w:shd w:val="clear" w:color="auto" w:fill="FFFFFF"/>
              </w:rPr>
              <w:t>, no</w:t>
            </w:r>
            <w:r>
              <w:rPr>
                <w:rFonts w:ascii="Times New Roman" w:eastAsia="Times New Roman" w:hAnsi="Times New Roman" w:cs="Times New Roman"/>
                <w:sz w:val="24"/>
                <w:szCs w:val="24"/>
                <w:bdr w:val="none" w:sz="0" w:space="0" w:color="auto" w:frame="1"/>
                <w:shd w:val="clear" w:color="auto" w:fill="FFFFFF"/>
              </w:rPr>
              <w:t>teikts</w:t>
            </w:r>
            <w:r w:rsidRPr="007334AD">
              <w:rPr>
                <w:rFonts w:ascii="Times New Roman" w:eastAsia="Times New Roman" w:hAnsi="Times New Roman" w:cs="Times New Roman"/>
                <w:sz w:val="24"/>
                <w:szCs w:val="24"/>
                <w:bdr w:val="none" w:sz="0" w:space="0" w:color="auto" w:frame="1"/>
                <w:shd w:val="clear" w:color="auto" w:fill="FFFFFF"/>
              </w:rPr>
              <w:t>, ka Valsts policija septiņu darba dienu laikā no aizturēšanas nodod brīvības atņemšanas iestādei soda izciešanai aizturēto personu, kurai </w:t>
            </w:r>
            <w:r w:rsidRPr="007334AD">
              <w:rPr>
                <w:rFonts w:ascii="Times New Roman" w:eastAsia="Times New Roman" w:hAnsi="Times New Roman" w:cs="Times New Roman"/>
                <w:sz w:val="24"/>
                <w:szCs w:val="24"/>
                <w:u w:val="single"/>
                <w:bdr w:val="none" w:sz="0" w:space="0" w:color="auto" w:frame="1"/>
                <w:shd w:val="clear" w:color="auto" w:fill="FFFFFF"/>
              </w:rPr>
              <w:t>sods aizstāts ar īslaicīgu brīvības atņemšanu vai brīvības atņemšanu</w:t>
            </w:r>
            <w:r w:rsidRPr="007334AD">
              <w:rPr>
                <w:rFonts w:ascii="Times New Roman" w:eastAsia="Times New Roman" w:hAnsi="Times New Roman" w:cs="Times New Roman"/>
                <w:sz w:val="24"/>
                <w:szCs w:val="24"/>
                <w:bdr w:val="none" w:sz="0" w:space="0" w:color="auto" w:frame="1"/>
                <w:shd w:val="clear" w:color="auto" w:fill="FFFFFF"/>
              </w:rPr>
              <w:t> vai kurai </w:t>
            </w:r>
            <w:r w:rsidRPr="007334AD">
              <w:rPr>
                <w:rFonts w:ascii="Times New Roman" w:eastAsia="Times New Roman" w:hAnsi="Times New Roman" w:cs="Times New Roman"/>
                <w:sz w:val="24"/>
                <w:szCs w:val="24"/>
                <w:u w:val="single"/>
                <w:bdr w:val="none" w:sz="0" w:space="0" w:color="auto" w:frame="1"/>
                <w:shd w:val="clear" w:color="auto" w:fill="FFFFFF"/>
              </w:rPr>
              <w:t>piemērots</w:t>
            </w:r>
            <w:r w:rsidRPr="007334AD">
              <w:rPr>
                <w:rFonts w:ascii="Times New Roman" w:eastAsia="Times New Roman" w:hAnsi="Times New Roman" w:cs="Times New Roman"/>
                <w:sz w:val="24"/>
                <w:szCs w:val="24"/>
                <w:bdr w:val="none" w:sz="0" w:space="0" w:color="auto" w:frame="1"/>
                <w:shd w:val="clear" w:color="auto" w:fill="FFFFFF"/>
              </w:rPr>
              <w:t> brīvības atņemšanas sods un kura neatrodas ieslodzījumā. Līdz ar to Kodeksa 15. panta ceturtās daļas pirmajā teikumā</w:t>
            </w:r>
            <w:r>
              <w:rPr>
                <w:rFonts w:ascii="Times New Roman" w:eastAsia="Times New Roman" w:hAnsi="Times New Roman" w:cs="Times New Roman"/>
                <w:sz w:val="24"/>
                <w:szCs w:val="24"/>
                <w:bdr w:val="none" w:sz="0" w:space="0" w:color="auto" w:frame="1"/>
                <w:shd w:val="clear" w:color="auto" w:fill="FFFFFF"/>
              </w:rPr>
              <w:t xml:space="preserve"> jau ir paredzēts</w:t>
            </w:r>
            <w:r w:rsidRPr="007334AD">
              <w:rPr>
                <w:rFonts w:ascii="Times New Roman" w:eastAsia="Times New Roman" w:hAnsi="Times New Roman" w:cs="Times New Roman"/>
                <w:sz w:val="24"/>
                <w:szCs w:val="24"/>
                <w:bdr w:val="none" w:sz="0" w:space="0" w:color="auto" w:frame="1"/>
                <w:shd w:val="clear" w:color="auto" w:fill="FFFFFF"/>
              </w:rPr>
              <w:t>, ka minētajā normā paredzētā kārtība tiks attiecināta uz visiem gadījumiem, kad personai jebkurš sods KL noteiktajā kārtībā ir aizstāts ar īslaicīgu brīvības atņemšanu vai brīvības atņemšanu vai piemērots brīvības atņemšanas sods un persona neatrodas ieslodzījumā.</w:t>
            </w:r>
          </w:p>
          <w:p w14:paraId="2806449F" w14:textId="060E271F" w:rsidR="00C9653E" w:rsidRPr="00C9653E" w:rsidRDefault="00C9653E" w:rsidP="00C9653E">
            <w:pPr>
              <w:spacing w:after="0" w:line="240" w:lineRule="auto"/>
              <w:jc w:val="both"/>
              <w:rPr>
                <w:rFonts w:ascii="Times New Roman" w:eastAsia="Times New Roman" w:hAnsi="Times New Roman" w:cs="Times New Roman"/>
                <w:sz w:val="24"/>
                <w:szCs w:val="24"/>
                <w:bdr w:val="none" w:sz="0" w:space="0" w:color="auto" w:frame="1"/>
                <w:shd w:val="clear" w:color="auto" w:fill="FFFFFF"/>
              </w:rPr>
            </w:pPr>
            <w:r w:rsidRPr="00C9653E">
              <w:rPr>
                <w:rFonts w:ascii="Times New Roman" w:hAnsi="Times New Roman" w:cs="Times New Roman"/>
                <w:sz w:val="24"/>
                <w:szCs w:val="24"/>
              </w:rPr>
              <w:t xml:space="preserve">Grozījumi paredz papildināt </w:t>
            </w:r>
            <w:r w:rsidRPr="00C9653E">
              <w:rPr>
                <w:rFonts w:ascii="Times New Roman" w:hAnsi="Times New Roman" w:cs="Times New Roman"/>
                <w:b/>
                <w:bCs/>
                <w:sz w:val="24"/>
                <w:szCs w:val="24"/>
              </w:rPr>
              <w:t>KPL 720.</w:t>
            </w:r>
            <w:r w:rsidRPr="00C9653E">
              <w:rPr>
                <w:rFonts w:ascii="Times New Roman" w:hAnsi="Times New Roman" w:cs="Times New Roman"/>
                <w:b/>
                <w:bCs/>
                <w:sz w:val="24"/>
                <w:szCs w:val="24"/>
                <w:vertAlign w:val="superscript"/>
              </w:rPr>
              <w:t>1</w:t>
            </w:r>
            <w:r w:rsidRPr="00C9653E">
              <w:rPr>
                <w:rFonts w:ascii="Times New Roman" w:hAnsi="Times New Roman" w:cs="Times New Roman"/>
                <w:b/>
                <w:bCs/>
                <w:sz w:val="24"/>
                <w:szCs w:val="24"/>
              </w:rPr>
              <w:t> pantu ar otro  un trešo daļu</w:t>
            </w:r>
            <w:r w:rsidRPr="00C9653E">
              <w:rPr>
                <w:rFonts w:ascii="Times New Roman" w:hAnsi="Times New Roman" w:cs="Times New Roman"/>
                <w:sz w:val="24"/>
                <w:szCs w:val="24"/>
              </w:rPr>
              <w:t>, nosakot kārtību, kādā ir pārsūdzams 720.</w:t>
            </w:r>
            <w:r w:rsidRPr="00C9653E">
              <w:rPr>
                <w:rFonts w:ascii="Times New Roman" w:hAnsi="Times New Roman" w:cs="Times New Roman"/>
                <w:sz w:val="24"/>
                <w:szCs w:val="24"/>
                <w:vertAlign w:val="superscript"/>
              </w:rPr>
              <w:t>1</w:t>
            </w:r>
            <w:r w:rsidRPr="00C9653E">
              <w:rPr>
                <w:rFonts w:ascii="Times New Roman" w:hAnsi="Times New Roman" w:cs="Times New Roman"/>
                <w:sz w:val="24"/>
                <w:szCs w:val="24"/>
              </w:rPr>
              <w:t> panta pirmajā daļā paredzētais kompetentās iestādes lēmums par piekrišanu izdotās personas izdošanai tālāk citai Eiropas Savienības dalībvalstij, kā arī tās kriminālvajāšanai, tiesāšanai un soda izpildei par citiem pirms izdošanas izdarītajiem nodarījumiem, proti, ja izdodamā persona nepiekrīt 720.</w:t>
            </w:r>
            <w:r w:rsidRPr="00C9653E">
              <w:rPr>
                <w:rFonts w:ascii="Times New Roman" w:hAnsi="Times New Roman" w:cs="Times New Roman"/>
                <w:sz w:val="24"/>
                <w:szCs w:val="24"/>
                <w:vertAlign w:val="superscript"/>
              </w:rPr>
              <w:t>1</w:t>
            </w:r>
            <w:r w:rsidRPr="00C9653E">
              <w:rPr>
                <w:rFonts w:ascii="Times New Roman" w:hAnsi="Times New Roman" w:cs="Times New Roman"/>
                <w:sz w:val="24"/>
                <w:szCs w:val="24"/>
              </w:rPr>
              <w:t xml:space="preserve"> panta pirmajā daļā minētajam lēmumam, šo lēmumu var pārsūdzēt Augstākajā tiesā 10 dienu laikā no tā saņemšanas dienas. Sūdzību par kompetentās iestādes lēmumu Augstākā tiesa izskata šā likuma 706.un 707.pantā </w:t>
            </w:r>
            <w:r w:rsidRPr="00C9653E">
              <w:rPr>
                <w:rFonts w:ascii="Times New Roman" w:hAnsi="Times New Roman" w:cs="Times New Roman"/>
                <w:sz w:val="24"/>
                <w:szCs w:val="24"/>
              </w:rPr>
              <w:lastRenderedPageBreak/>
              <w:t xml:space="preserve">noteiktajā kārtībā un pieņemto lēmumu </w:t>
            </w:r>
            <w:proofErr w:type="spellStart"/>
            <w:r w:rsidRPr="00C9653E">
              <w:rPr>
                <w:rFonts w:ascii="Times New Roman" w:hAnsi="Times New Roman" w:cs="Times New Roman"/>
                <w:sz w:val="24"/>
                <w:szCs w:val="24"/>
              </w:rPr>
              <w:t>nosūta</w:t>
            </w:r>
            <w:proofErr w:type="spellEnd"/>
            <w:r w:rsidRPr="00C9653E">
              <w:rPr>
                <w:rFonts w:ascii="Times New Roman" w:hAnsi="Times New Roman" w:cs="Times New Roman"/>
                <w:sz w:val="24"/>
                <w:szCs w:val="24"/>
              </w:rPr>
              <w:t xml:space="preserve"> kompetentajai iestādei 20 dienu laikā no sūdzības saņemšanas dienas. </w:t>
            </w:r>
          </w:p>
          <w:p w14:paraId="138352B1" w14:textId="77777777" w:rsidR="00C9653E" w:rsidRPr="007334AD" w:rsidRDefault="00C9653E" w:rsidP="00C9653E">
            <w:pPr>
              <w:pStyle w:val="Sarakstarindkopa"/>
              <w:tabs>
                <w:tab w:val="left" w:pos="709"/>
                <w:tab w:val="left" w:pos="851"/>
              </w:tabs>
              <w:spacing w:after="0" w:line="240" w:lineRule="auto"/>
              <w:ind w:left="0"/>
              <w:jc w:val="both"/>
              <w:rPr>
                <w:rFonts w:ascii="Times New Roman" w:hAnsi="Times New Roman" w:cs="Times New Roman"/>
                <w:sz w:val="24"/>
                <w:szCs w:val="24"/>
              </w:rPr>
            </w:pPr>
            <w:r w:rsidRPr="007334AD">
              <w:rPr>
                <w:rFonts w:ascii="Times New Roman" w:hAnsi="Times New Roman" w:cs="Times New Roman"/>
                <w:sz w:val="24"/>
                <w:szCs w:val="24"/>
              </w:rPr>
              <w:t>2009. </w:t>
            </w:r>
            <w:r>
              <w:rPr>
                <w:rFonts w:ascii="Times New Roman" w:hAnsi="Times New Roman" w:cs="Times New Roman"/>
                <w:sz w:val="24"/>
                <w:szCs w:val="24"/>
              </w:rPr>
              <w:t xml:space="preserve">gada </w:t>
            </w:r>
            <w:r w:rsidRPr="007334AD">
              <w:rPr>
                <w:rFonts w:ascii="Times New Roman" w:hAnsi="Times New Roman" w:cs="Times New Roman"/>
                <w:sz w:val="24"/>
                <w:szCs w:val="24"/>
              </w:rPr>
              <w:t>14. jūlijā stājās spēkā grozījumi KPL, ar kuriem likums tika papildināts ar 720.</w:t>
            </w:r>
            <w:r w:rsidRPr="007334AD">
              <w:rPr>
                <w:rFonts w:ascii="Times New Roman" w:hAnsi="Times New Roman" w:cs="Times New Roman"/>
                <w:sz w:val="24"/>
                <w:szCs w:val="24"/>
                <w:vertAlign w:val="superscript"/>
              </w:rPr>
              <w:t>1</w:t>
            </w:r>
            <w:r w:rsidRPr="007334AD">
              <w:rPr>
                <w:rFonts w:ascii="Times New Roman" w:hAnsi="Times New Roman" w:cs="Times New Roman"/>
                <w:sz w:val="24"/>
                <w:szCs w:val="24"/>
              </w:rPr>
              <w:t> pantu, kurš noteic kārtību, kādā Latvijas kompetentās iestādes dod piekrišanu tālākai izdošanai un personas kriminālvajāšanai un tiesāšanai. Šis grozījums tika izstrādāts atbilstoši Padomes pamatlēmuma (2002. gada 13. jūnijs) par Eiropas apcietināšanas orderi un par nodošanas procedūrām starp dalībvalstīm (2002/584/TI) (turpmāk – Pamatlēmums 2002/584/TI) 27. panta 4. punktam un 28. panta 3. punktam.</w:t>
            </w:r>
          </w:p>
          <w:p w14:paraId="30081C5B" w14:textId="77777777" w:rsidR="00C9653E" w:rsidRPr="007334AD" w:rsidRDefault="00C9653E" w:rsidP="00C9653E">
            <w:pPr>
              <w:pStyle w:val="Sarakstarindkopa"/>
              <w:tabs>
                <w:tab w:val="left" w:pos="709"/>
                <w:tab w:val="left" w:pos="851"/>
              </w:tabs>
              <w:spacing w:after="0" w:line="240" w:lineRule="auto"/>
              <w:ind w:left="0"/>
              <w:jc w:val="both"/>
              <w:rPr>
                <w:rFonts w:ascii="Times New Roman" w:hAnsi="Times New Roman" w:cs="Times New Roman"/>
                <w:sz w:val="24"/>
                <w:szCs w:val="24"/>
              </w:rPr>
            </w:pPr>
            <w:r w:rsidRPr="007334AD">
              <w:rPr>
                <w:rFonts w:ascii="Times New Roman" w:hAnsi="Times New Roman" w:cs="Times New Roman"/>
                <w:sz w:val="24"/>
                <w:szCs w:val="24"/>
              </w:rPr>
              <w:t xml:space="preserve">Saskaņā ar Eiropas Savienības Tiesas (turpmāk – EST) judikatūru, lai prokuratūra varētu būt izsniegšanas un izpildes tiesu iestāde atbilstoši Pamatlēmumam 2002/584/TI, ir jāizpildās trīs kritērijiem: 1) prokuratūrai ir jāpiedalās tiesu varas īstenošanā krimināllietās; 2) prokuratūrai Eiropas apcietinājuma ordera izdošanas un izpildes funkciju pildīšanā jābūt neatkarīgai no izpildvaras; 3) jābūt nodrošinātai efektīvai tiesību aizsardzībai tiesā, proti, lēmumam par Eiropas apcietinājuma ordera izdošanu/izpildi ir jābūt pakļautam tiesas procesam, piemēram, personai ir jābūt iespējai to pārsūdzēt tiesā, vai prokuratūras pieņemtu lēmumu pēc tam apstiprina tiesa.  </w:t>
            </w:r>
          </w:p>
          <w:p w14:paraId="4234908C" w14:textId="77777777" w:rsidR="00C9653E" w:rsidRPr="007334AD" w:rsidRDefault="00C9653E" w:rsidP="00C9653E">
            <w:pPr>
              <w:tabs>
                <w:tab w:val="left" w:pos="284"/>
                <w:tab w:val="left" w:pos="851"/>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 xml:space="preserve">Gadījumos, kad Latvija ir izdevējvalsts, jeb pieņem Eiropas apcietinājuma orderi (lēmumu), izpildās visi iepriekš minētie kritēriji. Taču gadījumos, kad Latvija ir </w:t>
            </w:r>
            <w:proofErr w:type="spellStart"/>
            <w:r w:rsidRPr="007334AD">
              <w:rPr>
                <w:rFonts w:ascii="Times New Roman" w:hAnsi="Times New Roman" w:cs="Times New Roman"/>
                <w:sz w:val="24"/>
                <w:szCs w:val="24"/>
              </w:rPr>
              <w:t>izpildvalsts</w:t>
            </w:r>
            <w:proofErr w:type="spellEnd"/>
            <w:r w:rsidRPr="007334AD">
              <w:rPr>
                <w:rFonts w:ascii="Times New Roman" w:hAnsi="Times New Roman" w:cs="Times New Roman"/>
                <w:sz w:val="24"/>
                <w:szCs w:val="24"/>
              </w:rPr>
              <w:t xml:space="preserve"> jeb Latvija lemj par personas izdošanu citai Eiropas Savienības dalībvalstij, pastāv pamatotas šaubas par Latvijas normatīvā regulējuma atbilstību trešajam kritērijam, proti, efektīvai tiesību aizsardzībai tiesā, un konkrēti, gadījumos, kad saskaņā ar KPL 720.</w:t>
            </w:r>
            <w:r w:rsidRPr="007334AD">
              <w:rPr>
                <w:rFonts w:ascii="Times New Roman" w:hAnsi="Times New Roman" w:cs="Times New Roman"/>
                <w:sz w:val="24"/>
                <w:szCs w:val="24"/>
                <w:vertAlign w:val="superscript"/>
              </w:rPr>
              <w:t>1</w:t>
            </w:r>
            <w:r w:rsidRPr="007334AD">
              <w:rPr>
                <w:rFonts w:ascii="Times New Roman" w:hAnsi="Times New Roman" w:cs="Times New Roman"/>
                <w:sz w:val="24"/>
                <w:szCs w:val="24"/>
              </w:rPr>
              <w:t xml:space="preserve"> pantu Ģenerālprokuratūra lemj par piekrišanu izdotās personas izdošanai tālāk citai Eiropas Savienības dalībvalstij, kā arī tās kriminālvajāšanai, tiesāšanai un soda izpildei par citiem pirms izdošanas izdarītajiem nodarījumiem.</w:t>
            </w:r>
          </w:p>
          <w:p w14:paraId="759A1B41" w14:textId="77777777" w:rsidR="00C9653E" w:rsidRPr="007334AD" w:rsidRDefault="00C9653E" w:rsidP="00C9653E">
            <w:pPr>
              <w:tabs>
                <w:tab w:val="left" w:pos="284"/>
                <w:tab w:val="left" w:pos="851"/>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Šobrīd EST tiesa spriedumā lietā Nr. C-510/19 ir vērtējusi to, kā ir interpretējams jēdziens “izpildes tiesu iestāde” Pamatlēmuma 2002/584 6. panta 2. punkta, kā arī 27. panta 3. punkta g) apakšpunkta un 4. punkta izpratnē, proti, sniedzot piekrišanu veikt nodotās personas kriminālvajāšanu, to notiesāt vai tai atņemt brīvību par nodarījumu, kas veikts pirms tās nodošanas un kas nav nodarījums, par kuru tā nodota. Ar piedāvātajiem grozījumiem tiek nodrošināta Ģenerālprokuratūras kā izpildes tiesu iestādes atbilstība kritērijam par efektīvu tiesību aizsardzībai tiesā arī citu KPL 720.</w:t>
            </w:r>
            <w:r w:rsidRPr="007334AD">
              <w:rPr>
                <w:rFonts w:ascii="Times New Roman" w:hAnsi="Times New Roman" w:cs="Times New Roman"/>
                <w:sz w:val="24"/>
                <w:szCs w:val="24"/>
                <w:vertAlign w:val="superscript"/>
              </w:rPr>
              <w:t>1</w:t>
            </w:r>
            <w:r w:rsidRPr="007334AD">
              <w:rPr>
                <w:rFonts w:ascii="Times New Roman" w:hAnsi="Times New Roman" w:cs="Times New Roman"/>
                <w:sz w:val="24"/>
                <w:szCs w:val="24"/>
              </w:rPr>
              <w:t xml:space="preserve"> pantā paredzēto lēmumu pieņemšanas procesā.  </w:t>
            </w:r>
          </w:p>
          <w:p w14:paraId="0C7B9E23" w14:textId="74A84150" w:rsidR="00C9653E" w:rsidRDefault="00C9653E" w:rsidP="00C9653E">
            <w:pPr>
              <w:tabs>
                <w:tab w:val="left" w:pos="284"/>
                <w:tab w:val="left" w:pos="851"/>
                <w:tab w:val="left" w:pos="1134"/>
              </w:tabs>
              <w:spacing w:after="0" w:line="240" w:lineRule="auto"/>
              <w:jc w:val="both"/>
              <w:rPr>
                <w:rFonts w:ascii="Times New Roman" w:hAnsi="Times New Roman" w:cs="Times New Roman"/>
                <w:sz w:val="24"/>
                <w:szCs w:val="24"/>
              </w:rPr>
            </w:pPr>
            <w:r w:rsidRPr="007334AD">
              <w:rPr>
                <w:rFonts w:ascii="Times New Roman" w:hAnsi="Times New Roman" w:cs="Times New Roman"/>
                <w:sz w:val="24"/>
                <w:szCs w:val="24"/>
              </w:rPr>
              <w:t>Ievērojot to, ka saskaņā ar KPL 720.</w:t>
            </w:r>
            <w:r>
              <w:rPr>
                <w:rFonts w:ascii="Times New Roman" w:hAnsi="Times New Roman" w:cs="Times New Roman"/>
                <w:sz w:val="24"/>
                <w:szCs w:val="24"/>
              </w:rPr>
              <w:t> </w:t>
            </w:r>
            <w:r w:rsidRPr="007334AD">
              <w:rPr>
                <w:rFonts w:ascii="Times New Roman" w:hAnsi="Times New Roman" w:cs="Times New Roman"/>
                <w:sz w:val="24"/>
                <w:szCs w:val="24"/>
              </w:rPr>
              <w:t>pantu Ģenerālprokuratūras lēmums par personas izdošanu ir pārsūdzams Augstākajā tiesā, arī KPL 720.</w:t>
            </w:r>
            <w:r w:rsidRPr="007334AD">
              <w:rPr>
                <w:rFonts w:ascii="Times New Roman" w:hAnsi="Times New Roman" w:cs="Times New Roman"/>
                <w:sz w:val="24"/>
                <w:szCs w:val="24"/>
                <w:vertAlign w:val="superscript"/>
              </w:rPr>
              <w:t>1</w:t>
            </w:r>
            <w:r w:rsidRPr="007334AD">
              <w:rPr>
                <w:rFonts w:ascii="Times New Roman" w:hAnsi="Times New Roman" w:cs="Times New Roman"/>
                <w:sz w:val="24"/>
                <w:szCs w:val="24"/>
              </w:rPr>
              <w:t xml:space="preserve"> pantā ir </w:t>
            </w:r>
            <w:r w:rsidRPr="007334AD">
              <w:rPr>
                <w:rFonts w:ascii="Times New Roman" w:hAnsi="Times New Roman" w:cs="Times New Roman"/>
                <w:sz w:val="24"/>
                <w:szCs w:val="24"/>
              </w:rPr>
              <w:lastRenderedPageBreak/>
              <w:t>paredzama kārtība, ka Ģenerālprokuratūras kā kompetentās iestādes lēmums par piekrišanu izdotās personas izdošanai tālāk citai Eiropas Savienības dalībvalstij, kā arī tās kriminālvajāšanai, tiesāšanai un soda izpildei par citiem pirms izdošanas izdarītajiem nodarījumiem ir pārsūdzams Augstākajā tiesā, tādējādi nosakot vienotu visu ar personas izdošanu saistītu lēmumu pārsūdzības kārtību.</w:t>
            </w:r>
          </w:p>
          <w:p w14:paraId="30C06537" w14:textId="7174B224" w:rsidR="00F05293" w:rsidRPr="00005EE8" w:rsidRDefault="00F05293" w:rsidP="00F05293">
            <w:pPr>
              <w:shd w:val="clear" w:color="auto" w:fill="FFFFFF"/>
              <w:spacing w:line="257" w:lineRule="atLeast"/>
              <w:jc w:val="both"/>
              <w:rPr>
                <w:rFonts w:ascii="Times New Roman" w:eastAsia="Times New Roman" w:hAnsi="Times New Roman" w:cs="Times New Roman"/>
                <w:strike/>
                <w:sz w:val="24"/>
                <w:szCs w:val="24"/>
                <w:bdr w:val="none" w:sz="0" w:space="0" w:color="auto" w:frame="1"/>
              </w:rPr>
            </w:pPr>
          </w:p>
        </w:tc>
      </w:tr>
      <w:tr w:rsidR="00DA326E" w:rsidRPr="00706AC9"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5E002B08"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706AC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Projekta izstrādē iesaistītās institūcijas</w:t>
            </w:r>
            <w:r w:rsidR="00A1552F" w:rsidRPr="00706AC9">
              <w:rPr>
                <w:rFonts w:ascii="Times New Roman" w:eastAsia="Times New Roman" w:hAnsi="Times New Roman" w:cs="Times New Roman"/>
                <w:sz w:val="24"/>
                <w:szCs w:val="24"/>
                <w:lang w:eastAsia="lv-LV"/>
              </w:rPr>
              <w:t xml:space="preserve"> 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09DA66A3" w14:textId="54113919" w:rsidR="004D15A9" w:rsidRPr="00706AC9" w:rsidRDefault="00920E66">
            <w:pPr>
              <w:spacing w:after="0" w:line="240" w:lineRule="auto"/>
              <w:jc w:val="both"/>
              <w:rPr>
                <w:rFonts w:ascii="Times New Roman" w:hAnsi="Times New Roman" w:cs="Times New Roman"/>
                <w:shd w:val="clear" w:color="auto" w:fill="FFFFFF"/>
              </w:rPr>
            </w:pPr>
            <w:r w:rsidRPr="00706AC9">
              <w:rPr>
                <w:rFonts w:ascii="Times New Roman" w:eastAsia="Times New Roman" w:hAnsi="Times New Roman" w:cs="Times New Roman"/>
                <w:sz w:val="24"/>
                <w:szCs w:val="24"/>
                <w:lang w:eastAsia="lv-LV"/>
              </w:rPr>
              <w:t xml:space="preserve">Tieslietu ministrija. </w:t>
            </w:r>
            <w:r w:rsidR="002C7BB7">
              <w:rPr>
                <w:rFonts w:ascii="Times New Roman" w:eastAsia="Times New Roman" w:hAnsi="Times New Roman" w:cs="Times New Roman"/>
                <w:sz w:val="24"/>
                <w:szCs w:val="24"/>
                <w:lang w:eastAsia="lv-LV"/>
              </w:rPr>
              <w:t>Likump</w:t>
            </w:r>
            <w:r w:rsidR="007963CB" w:rsidRPr="00706AC9">
              <w:rPr>
                <w:rFonts w:ascii="Times New Roman" w:eastAsia="Times New Roman" w:hAnsi="Times New Roman" w:cs="Times New Roman"/>
                <w:sz w:val="24"/>
                <w:szCs w:val="24"/>
                <w:lang w:eastAsia="lv-LV"/>
              </w:rPr>
              <w:t xml:space="preserve">rojekta izstrādes ietvaros notikušas </w:t>
            </w:r>
            <w:r w:rsidR="00364D48" w:rsidRPr="00706AC9">
              <w:rPr>
                <w:rFonts w:ascii="Times New Roman" w:eastAsia="Times New Roman" w:hAnsi="Times New Roman" w:cs="Times New Roman"/>
                <w:sz w:val="24"/>
                <w:szCs w:val="24"/>
                <w:lang w:eastAsia="lv-LV"/>
              </w:rPr>
              <w:t>diskusijas</w:t>
            </w:r>
            <w:r w:rsidR="00162715" w:rsidRPr="00706AC9">
              <w:rPr>
                <w:rFonts w:ascii="Times New Roman" w:eastAsia="Times New Roman" w:hAnsi="Times New Roman" w:cs="Times New Roman"/>
                <w:sz w:val="24"/>
                <w:szCs w:val="24"/>
                <w:lang w:eastAsia="lv-LV"/>
              </w:rPr>
              <w:t xml:space="preserve"> ar</w:t>
            </w:r>
            <w:r w:rsidR="007963CB" w:rsidRPr="00706AC9">
              <w:rPr>
                <w:rFonts w:ascii="Times New Roman" w:eastAsia="Times New Roman" w:hAnsi="Times New Roman" w:cs="Times New Roman"/>
                <w:sz w:val="24"/>
                <w:szCs w:val="24"/>
                <w:lang w:eastAsia="lv-LV"/>
              </w:rPr>
              <w:t xml:space="preserve"> tieslietu ministra </w:t>
            </w:r>
            <w:r w:rsidR="00472B9C" w:rsidRPr="00706AC9">
              <w:rPr>
                <w:rFonts w:ascii="Times New Roman" w:eastAsia="Times New Roman" w:hAnsi="Times New Roman" w:cs="Times New Roman"/>
                <w:sz w:val="24"/>
                <w:szCs w:val="24"/>
                <w:lang w:eastAsia="lv-LV"/>
              </w:rPr>
              <w:t>2020</w:t>
            </w:r>
            <w:r w:rsidR="007963CB" w:rsidRPr="00706AC9">
              <w:rPr>
                <w:rFonts w:ascii="Times New Roman" w:eastAsia="Times New Roman" w:hAnsi="Times New Roman" w:cs="Times New Roman"/>
                <w:sz w:val="24"/>
                <w:szCs w:val="24"/>
                <w:lang w:eastAsia="lv-LV"/>
              </w:rPr>
              <w:t xml:space="preserve">. gada </w:t>
            </w:r>
            <w:r w:rsidR="00472B9C" w:rsidRPr="00706AC9">
              <w:rPr>
                <w:rFonts w:ascii="Times New Roman" w:eastAsia="Times New Roman" w:hAnsi="Times New Roman" w:cs="Times New Roman"/>
                <w:sz w:val="24"/>
                <w:szCs w:val="24"/>
                <w:lang w:eastAsia="lv-LV"/>
              </w:rPr>
              <w:t>9</w:t>
            </w:r>
            <w:r w:rsidR="007963CB" w:rsidRPr="00706AC9">
              <w:rPr>
                <w:rFonts w:ascii="Times New Roman" w:eastAsia="Times New Roman" w:hAnsi="Times New Roman" w:cs="Times New Roman"/>
                <w:sz w:val="24"/>
                <w:szCs w:val="24"/>
                <w:lang w:eastAsia="lv-LV"/>
              </w:rPr>
              <w:t>. </w:t>
            </w:r>
            <w:r w:rsidR="00472B9C" w:rsidRPr="00706AC9">
              <w:rPr>
                <w:rFonts w:ascii="Times New Roman" w:eastAsia="Times New Roman" w:hAnsi="Times New Roman" w:cs="Times New Roman"/>
                <w:sz w:val="24"/>
                <w:szCs w:val="24"/>
                <w:lang w:eastAsia="lv-LV"/>
              </w:rPr>
              <w:t>marta</w:t>
            </w:r>
            <w:r w:rsidR="00C872D7" w:rsidRPr="00706AC9">
              <w:rPr>
                <w:rFonts w:ascii="Times New Roman" w:eastAsia="Times New Roman" w:hAnsi="Times New Roman" w:cs="Times New Roman"/>
                <w:sz w:val="24"/>
                <w:szCs w:val="24"/>
                <w:lang w:eastAsia="lv-LV"/>
              </w:rPr>
              <w:t xml:space="preserve"> rīkojumu Nr. 1-1/</w:t>
            </w:r>
            <w:r w:rsidR="00472B9C" w:rsidRPr="00706AC9">
              <w:rPr>
                <w:rFonts w:ascii="Times New Roman" w:eastAsia="Times New Roman" w:hAnsi="Times New Roman" w:cs="Times New Roman"/>
                <w:sz w:val="24"/>
                <w:szCs w:val="24"/>
                <w:lang w:eastAsia="lv-LV"/>
              </w:rPr>
              <w:t>69</w:t>
            </w:r>
            <w:r w:rsidR="00C872D7" w:rsidRPr="00706AC9">
              <w:rPr>
                <w:rFonts w:ascii="Times New Roman" w:eastAsia="Times New Roman" w:hAnsi="Times New Roman" w:cs="Times New Roman"/>
                <w:sz w:val="24"/>
                <w:szCs w:val="24"/>
                <w:lang w:eastAsia="lv-LV"/>
              </w:rPr>
              <w:t xml:space="preserve"> izveidot</w:t>
            </w:r>
            <w:r w:rsidR="00C11443">
              <w:rPr>
                <w:rFonts w:ascii="Times New Roman" w:eastAsia="Times New Roman" w:hAnsi="Times New Roman" w:cs="Times New Roman"/>
                <w:sz w:val="24"/>
                <w:szCs w:val="24"/>
                <w:lang w:eastAsia="lv-LV"/>
              </w:rPr>
              <w:t>ās</w:t>
            </w:r>
            <w:r w:rsidR="00C872D7" w:rsidRPr="00706AC9">
              <w:rPr>
                <w:rFonts w:ascii="Times New Roman" w:eastAsia="Times New Roman" w:hAnsi="Times New Roman" w:cs="Times New Roman"/>
                <w:sz w:val="24"/>
                <w:szCs w:val="24"/>
                <w:lang w:eastAsia="lv-LV"/>
              </w:rPr>
              <w:t xml:space="preserve"> pastāvīgā</w:t>
            </w:r>
            <w:r w:rsidR="00C11443">
              <w:rPr>
                <w:rFonts w:ascii="Times New Roman" w:eastAsia="Times New Roman" w:hAnsi="Times New Roman" w:cs="Times New Roman"/>
                <w:sz w:val="24"/>
                <w:szCs w:val="24"/>
                <w:lang w:eastAsia="lv-LV"/>
              </w:rPr>
              <w:t>s</w:t>
            </w:r>
            <w:r w:rsidR="00C872D7" w:rsidRPr="00706AC9">
              <w:rPr>
                <w:rFonts w:ascii="Times New Roman" w:eastAsia="Times New Roman" w:hAnsi="Times New Roman" w:cs="Times New Roman"/>
                <w:sz w:val="24"/>
                <w:szCs w:val="24"/>
                <w:lang w:eastAsia="lv-LV"/>
              </w:rPr>
              <w:t xml:space="preserve"> </w:t>
            </w:r>
            <w:r w:rsidR="00472B9C" w:rsidRPr="00706AC9">
              <w:rPr>
                <w:rFonts w:ascii="Times New Roman" w:eastAsia="Times New Roman" w:hAnsi="Times New Roman" w:cs="Times New Roman"/>
                <w:sz w:val="24"/>
                <w:szCs w:val="24"/>
                <w:lang w:eastAsia="lv-LV"/>
              </w:rPr>
              <w:t xml:space="preserve">Kriminālprocesa likuma </w:t>
            </w:r>
            <w:r w:rsidR="00C872D7" w:rsidRPr="00706AC9">
              <w:rPr>
                <w:rFonts w:ascii="Times New Roman" w:eastAsia="Times New Roman" w:hAnsi="Times New Roman" w:cs="Times New Roman"/>
                <w:sz w:val="24"/>
                <w:szCs w:val="24"/>
                <w:lang w:eastAsia="lv-LV"/>
              </w:rPr>
              <w:t>darba grup</w:t>
            </w:r>
            <w:r w:rsidR="006A4C6E" w:rsidRPr="00706AC9">
              <w:rPr>
                <w:rFonts w:ascii="Times New Roman" w:eastAsia="Times New Roman" w:hAnsi="Times New Roman" w:cs="Times New Roman"/>
                <w:sz w:val="24"/>
                <w:szCs w:val="24"/>
                <w:lang w:eastAsia="lv-LV"/>
              </w:rPr>
              <w:t>as sanāksmēs</w:t>
            </w:r>
            <w:r w:rsidR="007963CB" w:rsidRPr="00706AC9">
              <w:rPr>
                <w:rFonts w:ascii="Times New Roman" w:eastAsia="Times New Roman" w:hAnsi="Times New Roman" w:cs="Times New Roman"/>
                <w:sz w:val="24"/>
                <w:szCs w:val="24"/>
                <w:lang w:eastAsia="lv-LV"/>
              </w:rPr>
              <w:t>,</w:t>
            </w:r>
            <w:r w:rsidR="00C872D7" w:rsidRPr="00706AC9">
              <w:rPr>
                <w:rFonts w:ascii="Times New Roman" w:eastAsia="Times New Roman" w:hAnsi="Times New Roman" w:cs="Times New Roman"/>
                <w:sz w:val="24"/>
                <w:szCs w:val="24"/>
                <w:lang w:eastAsia="lv-LV"/>
              </w:rPr>
              <w:t xml:space="preserve"> </w:t>
            </w:r>
            <w:r w:rsidR="007963CB" w:rsidRPr="00706AC9">
              <w:rPr>
                <w:rFonts w:ascii="Times New Roman" w:eastAsia="Times New Roman" w:hAnsi="Times New Roman" w:cs="Times New Roman"/>
                <w:sz w:val="24"/>
                <w:szCs w:val="24"/>
                <w:lang w:eastAsia="lv-LV"/>
              </w:rPr>
              <w:t>kuras sastāvā</w:t>
            </w:r>
            <w:r w:rsidR="00364D48" w:rsidRPr="00706AC9">
              <w:rPr>
                <w:rFonts w:ascii="Times New Roman" w:eastAsia="Times New Roman" w:hAnsi="Times New Roman" w:cs="Times New Roman"/>
                <w:sz w:val="24"/>
                <w:szCs w:val="24"/>
                <w:lang w:eastAsia="lv-LV"/>
              </w:rPr>
              <w:t xml:space="preserve"> ir tiesību zinātņu eksperti un praktiķi, tostarp</w:t>
            </w:r>
            <w:r w:rsidR="00472B9C" w:rsidRPr="00706AC9">
              <w:rPr>
                <w:rFonts w:ascii="Times New Roman" w:eastAsia="Times New Roman" w:hAnsi="Times New Roman" w:cs="Times New Roman"/>
                <w:sz w:val="24"/>
                <w:szCs w:val="24"/>
                <w:lang w:eastAsia="lv-LV"/>
              </w:rPr>
              <w:t xml:space="preserve"> Valsts policijas, Ģenerālprokuratūras</w:t>
            </w:r>
            <w:r w:rsidR="00F8671A">
              <w:rPr>
                <w:rFonts w:ascii="Times New Roman" w:eastAsia="Times New Roman" w:hAnsi="Times New Roman" w:cs="Times New Roman"/>
                <w:sz w:val="24"/>
                <w:szCs w:val="24"/>
                <w:lang w:eastAsia="lv-LV"/>
              </w:rPr>
              <w:t>, Valsts ieņēmumu dienesta</w:t>
            </w:r>
            <w:r w:rsidR="00472B9C" w:rsidRPr="00706AC9">
              <w:rPr>
                <w:rFonts w:ascii="Times New Roman" w:eastAsia="Times New Roman" w:hAnsi="Times New Roman" w:cs="Times New Roman"/>
                <w:sz w:val="24"/>
                <w:szCs w:val="24"/>
                <w:lang w:eastAsia="lv-LV"/>
              </w:rPr>
              <w:t xml:space="preserve"> un</w:t>
            </w:r>
            <w:r w:rsidR="00364D48" w:rsidRPr="00706AC9">
              <w:rPr>
                <w:rFonts w:ascii="Times New Roman" w:eastAsia="Times New Roman" w:hAnsi="Times New Roman" w:cs="Times New Roman"/>
                <w:sz w:val="24"/>
                <w:szCs w:val="24"/>
                <w:lang w:eastAsia="lv-LV"/>
              </w:rPr>
              <w:t xml:space="preserve"> </w:t>
            </w:r>
            <w:r w:rsidR="00C872D7" w:rsidRPr="00706AC9">
              <w:rPr>
                <w:rFonts w:ascii="Times New Roman" w:hAnsi="Times New Roman" w:cs="Times New Roman"/>
                <w:sz w:val="24"/>
                <w:szCs w:val="24"/>
                <w:shd w:val="clear" w:color="auto" w:fill="FFFFFF"/>
              </w:rPr>
              <w:t xml:space="preserve">tiesu </w:t>
            </w:r>
            <w:r w:rsidR="00364D48" w:rsidRPr="00706AC9">
              <w:rPr>
                <w:rFonts w:ascii="Times New Roman" w:hAnsi="Times New Roman" w:cs="Times New Roman"/>
                <w:sz w:val="24"/>
                <w:szCs w:val="24"/>
                <w:shd w:val="clear" w:color="auto" w:fill="FFFFFF"/>
              </w:rPr>
              <w:t>pārstāvji</w:t>
            </w:r>
            <w:r w:rsidR="00F42A6A">
              <w:rPr>
                <w:rFonts w:ascii="Times New Roman" w:hAnsi="Times New Roman" w:cs="Times New Roman"/>
                <w:sz w:val="24"/>
                <w:szCs w:val="24"/>
                <w:shd w:val="clear" w:color="auto" w:fill="FFFFFF"/>
              </w:rPr>
              <w:t xml:space="preserve">, kā arī Latvijas Republikas Uzņēmumu reģistra pārstāvji. </w:t>
            </w:r>
          </w:p>
        </w:tc>
      </w:tr>
      <w:tr w:rsidR="00DA326E" w:rsidRPr="00706AC9"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706AC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1182056C" w14:textId="39772455" w:rsidR="004D15A9" w:rsidRPr="00706AC9" w:rsidRDefault="00364D48">
            <w:pPr>
              <w:spacing w:after="0" w:line="240" w:lineRule="auto"/>
              <w:jc w:val="both"/>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Nav</w:t>
            </w:r>
            <w:r w:rsidR="00C11443">
              <w:rPr>
                <w:rFonts w:ascii="Times New Roman" w:eastAsia="Times New Roman" w:hAnsi="Times New Roman" w:cs="Times New Roman"/>
                <w:sz w:val="24"/>
                <w:szCs w:val="24"/>
                <w:lang w:eastAsia="lv-LV"/>
              </w:rPr>
              <w:t>.</w:t>
            </w:r>
          </w:p>
        </w:tc>
      </w:tr>
      <w:tr w:rsidR="005D4E8A" w:rsidRPr="00706AC9"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706AC9" w:rsidRDefault="0081203F" w:rsidP="00843976">
            <w:pPr>
              <w:tabs>
                <w:tab w:val="left" w:pos="990"/>
              </w:tabs>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ab/>
            </w:r>
          </w:p>
        </w:tc>
      </w:tr>
      <w:tr w:rsidR="00BC2633" w:rsidRPr="00706AC9" w14:paraId="231B55F5"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706AC9" w:rsidRDefault="004D15A9" w:rsidP="00843976">
            <w:pPr>
              <w:spacing w:after="0" w:line="240" w:lineRule="auto"/>
              <w:ind w:firstLine="300"/>
              <w:jc w:val="center"/>
              <w:rPr>
                <w:rFonts w:ascii="Times New Roman" w:eastAsia="Times New Roman" w:hAnsi="Times New Roman" w:cs="Times New Roman"/>
                <w:b/>
                <w:bCs/>
                <w:sz w:val="24"/>
                <w:szCs w:val="24"/>
                <w:lang w:eastAsia="lv-LV"/>
              </w:rPr>
            </w:pPr>
            <w:r w:rsidRPr="00706AC9">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706AC9"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706AC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 xml:space="preserve">Sabiedrības </w:t>
            </w:r>
            <w:proofErr w:type="spellStart"/>
            <w:r w:rsidRPr="00706AC9">
              <w:rPr>
                <w:rFonts w:ascii="Times New Roman" w:eastAsia="Times New Roman" w:hAnsi="Times New Roman" w:cs="Times New Roman"/>
                <w:sz w:val="24"/>
                <w:szCs w:val="24"/>
                <w:lang w:eastAsia="lv-LV"/>
              </w:rPr>
              <w:t>mērķgrupas</w:t>
            </w:r>
            <w:proofErr w:type="spellEnd"/>
            <w:r w:rsidRPr="00706AC9">
              <w:rPr>
                <w:rFonts w:ascii="Times New Roman" w:eastAsia="Times New Roman" w:hAnsi="Times New Roman" w:cs="Times New Roman"/>
                <w:sz w:val="24"/>
                <w:szCs w:val="24"/>
                <w:lang w:eastAsia="lv-LV"/>
              </w:rPr>
              <w:t>,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14:paraId="674A68B1" w14:textId="49A0CBA6" w:rsidR="00436B68" w:rsidRPr="00706AC9" w:rsidRDefault="007145BE">
            <w:pPr>
              <w:spacing w:after="0" w:line="240" w:lineRule="auto"/>
              <w:jc w:val="both"/>
              <w:rPr>
                <w:rFonts w:ascii="Times New Roman" w:eastAsia="Times New Roman" w:hAnsi="Times New Roman" w:cs="Times New Roman"/>
                <w:sz w:val="24"/>
                <w:szCs w:val="24"/>
                <w:lang w:eastAsia="lv-LV"/>
              </w:rPr>
            </w:pPr>
            <w:r w:rsidRPr="00CE2B28">
              <w:rPr>
                <w:rFonts w:ascii="Times New Roman" w:eastAsia="Times New Roman" w:hAnsi="Times New Roman" w:cs="Times New Roman"/>
                <w:sz w:val="24"/>
                <w:szCs w:val="24"/>
                <w:lang w:eastAsia="lv-LV"/>
              </w:rPr>
              <w:t>Likumprojekts tieši ietekmēs</w:t>
            </w:r>
            <w:r w:rsidR="00472B9C" w:rsidRPr="00CE2B28">
              <w:rPr>
                <w:rFonts w:ascii="Times New Roman" w:eastAsia="Times New Roman" w:hAnsi="Times New Roman" w:cs="Times New Roman"/>
                <w:sz w:val="24"/>
                <w:szCs w:val="24"/>
                <w:lang w:eastAsia="lv-LV"/>
              </w:rPr>
              <w:t xml:space="preserve"> </w:t>
            </w:r>
            <w:r w:rsidR="00CE2B28" w:rsidRPr="00CE2B28">
              <w:rPr>
                <w:rFonts w:ascii="Times New Roman" w:eastAsia="Times New Roman" w:hAnsi="Times New Roman" w:cs="Times New Roman"/>
                <w:sz w:val="24"/>
                <w:szCs w:val="24"/>
                <w:lang w:eastAsia="lv-LV"/>
              </w:rPr>
              <w:t>juridiskās personas</w:t>
            </w:r>
            <w:r w:rsidR="00240918">
              <w:rPr>
                <w:rFonts w:ascii="Times New Roman" w:eastAsia="Times New Roman" w:hAnsi="Times New Roman" w:cs="Times New Roman"/>
                <w:sz w:val="24"/>
                <w:szCs w:val="24"/>
                <w:lang w:eastAsia="lv-LV"/>
              </w:rPr>
              <w:t>,</w:t>
            </w:r>
            <w:r w:rsidR="00CE2B28" w:rsidRPr="00CE2B28">
              <w:rPr>
                <w:rFonts w:ascii="Times New Roman" w:eastAsia="Times New Roman" w:hAnsi="Times New Roman" w:cs="Times New Roman"/>
                <w:sz w:val="24"/>
                <w:szCs w:val="24"/>
                <w:lang w:eastAsia="lv-LV"/>
              </w:rPr>
              <w:t xml:space="preserve"> pret kurām uzsākts process par piespiedu līdzekļa</w:t>
            </w:r>
            <w:r w:rsidR="00CE2B28">
              <w:rPr>
                <w:rFonts w:ascii="Times New Roman" w:eastAsia="Times New Roman" w:hAnsi="Times New Roman" w:cs="Times New Roman"/>
                <w:sz w:val="24"/>
                <w:szCs w:val="24"/>
                <w:lang w:eastAsia="lv-LV"/>
              </w:rPr>
              <w:t xml:space="preserve"> piemērošanu</w:t>
            </w:r>
            <w:r w:rsidR="00C9653E">
              <w:rPr>
                <w:rFonts w:ascii="Times New Roman" w:eastAsia="Times New Roman" w:hAnsi="Times New Roman" w:cs="Times New Roman"/>
                <w:sz w:val="24"/>
                <w:szCs w:val="24"/>
                <w:lang w:eastAsia="lv-LV"/>
              </w:rPr>
              <w:t>, kriminālprocesa dalībniekus, apgabaltiesas</w:t>
            </w:r>
            <w:r w:rsidR="00CE2B28">
              <w:rPr>
                <w:rFonts w:ascii="Times New Roman" w:eastAsia="Times New Roman" w:hAnsi="Times New Roman" w:cs="Times New Roman"/>
                <w:sz w:val="24"/>
                <w:szCs w:val="24"/>
                <w:lang w:eastAsia="lv-LV"/>
              </w:rPr>
              <w:t>.</w:t>
            </w:r>
          </w:p>
        </w:tc>
      </w:tr>
      <w:tr w:rsidR="00436B68" w:rsidRPr="00706AC9"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36B68" w:rsidRPr="00706AC9" w:rsidRDefault="00436B68"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1BB1E646" w14:textId="77777777" w:rsidR="00436B68" w:rsidRPr="00706AC9" w:rsidRDefault="00436B68">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12DBBFF5" w14:textId="67B7451D" w:rsidR="00436B68" w:rsidRPr="00706AC9" w:rsidRDefault="00DD11A1">
            <w:pPr>
              <w:spacing w:after="0" w:line="240" w:lineRule="auto"/>
              <w:jc w:val="both"/>
              <w:rPr>
                <w:rFonts w:ascii="Times New Roman" w:eastAsia="Times New Roman" w:hAnsi="Times New Roman" w:cs="Times New Roman"/>
                <w:sz w:val="24"/>
                <w:szCs w:val="24"/>
                <w:lang w:eastAsia="lv-LV"/>
              </w:rPr>
            </w:pPr>
            <w:r w:rsidRPr="003E6303">
              <w:rPr>
                <w:rFonts w:ascii="Times New Roman" w:eastAsia="Times New Roman" w:hAnsi="Times New Roman" w:cs="Times New Roman"/>
                <w:sz w:val="24"/>
                <w:szCs w:val="24"/>
                <w:lang w:eastAsia="lv-LV"/>
              </w:rPr>
              <w:t>Likumprojekts šo jomu neskar.</w:t>
            </w:r>
          </w:p>
        </w:tc>
      </w:tr>
      <w:tr w:rsidR="00436B68" w:rsidRPr="00706AC9"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36B68" w:rsidRPr="00706AC9" w:rsidRDefault="00436B68"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hideMark/>
          </w:tcPr>
          <w:p w14:paraId="490198F8" w14:textId="77777777" w:rsidR="00436B68" w:rsidRPr="00706AC9" w:rsidRDefault="00436B68">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5D564945" w14:textId="7CE36071" w:rsidR="00100297" w:rsidRPr="00706AC9" w:rsidRDefault="00DD11A1">
            <w:pPr>
              <w:spacing w:after="0" w:line="240" w:lineRule="auto"/>
              <w:jc w:val="both"/>
              <w:rPr>
                <w:rFonts w:ascii="Times New Roman" w:hAnsi="Times New Roman" w:cs="Times New Roman"/>
                <w:sz w:val="24"/>
                <w:szCs w:val="24"/>
              </w:rPr>
            </w:pPr>
            <w:r w:rsidRPr="003E6303">
              <w:rPr>
                <w:rFonts w:ascii="Times New Roman" w:eastAsia="Times New Roman" w:hAnsi="Times New Roman" w:cs="Times New Roman"/>
                <w:sz w:val="24"/>
                <w:szCs w:val="24"/>
                <w:lang w:eastAsia="lv-LV"/>
              </w:rPr>
              <w:t>Likumprojekts šo jomu neskar.</w:t>
            </w:r>
          </w:p>
        </w:tc>
      </w:tr>
      <w:tr w:rsidR="00436B68" w:rsidRPr="00706AC9"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436B68" w:rsidRPr="00706AC9" w:rsidRDefault="00436B68"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tcPr>
          <w:p w14:paraId="105AF451" w14:textId="0BBD8082" w:rsidR="00436B68" w:rsidRPr="00706AC9" w:rsidRDefault="00436B68">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0C5B7775" w14:textId="7BA5D0C4" w:rsidR="00436B68" w:rsidRPr="002C7BB7" w:rsidRDefault="002C7BB7">
            <w:pPr>
              <w:spacing w:after="0" w:line="240" w:lineRule="auto"/>
              <w:jc w:val="both"/>
              <w:rPr>
                <w:rFonts w:ascii="Times New Roman" w:eastAsia="Times New Roman" w:hAnsi="Times New Roman" w:cs="Times New Roman"/>
                <w:sz w:val="24"/>
                <w:szCs w:val="24"/>
                <w:lang w:eastAsia="lv-LV"/>
              </w:rPr>
            </w:pPr>
            <w:r w:rsidRPr="002C7BB7">
              <w:rPr>
                <w:rFonts w:ascii="Times New Roman" w:eastAsia="Times New Roman" w:hAnsi="Times New Roman" w:cs="Times New Roman"/>
                <w:sz w:val="24"/>
                <w:szCs w:val="24"/>
                <w:lang w:eastAsia="lv-LV"/>
              </w:rPr>
              <w:t>Likump</w:t>
            </w:r>
            <w:r w:rsidR="00436B68" w:rsidRPr="002C7BB7">
              <w:rPr>
                <w:rFonts w:ascii="Times New Roman" w:eastAsia="Times New Roman" w:hAnsi="Times New Roman" w:cs="Times New Roman"/>
                <w:sz w:val="24"/>
                <w:szCs w:val="24"/>
                <w:lang w:eastAsia="lv-LV"/>
              </w:rPr>
              <w:t>rojekts šo jomu neskar.</w:t>
            </w:r>
          </w:p>
        </w:tc>
      </w:tr>
      <w:tr w:rsidR="00436B68" w:rsidRPr="00706AC9"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36B68" w:rsidRPr="00706AC9" w:rsidRDefault="00436B68"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5.</w:t>
            </w:r>
          </w:p>
        </w:tc>
        <w:tc>
          <w:tcPr>
            <w:tcW w:w="1601" w:type="pct"/>
            <w:tcBorders>
              <w:top w:val="outset" w:sz="6" w:space="0" w:color="414142"/>
              <w:left w:val="outset" w:sz="6" w:space="0" w:color="414142"/>
              <w:bottom w:val="single" w:sz="4" w:space="0" w:color="auto"/>
              <w:right w:val="outset" w:sz="6" w:space="0" w:color="414142"/>
            </w:tcBorders>
            <w:hideMark/>
          </w:tcPr>
          <w:p w14:paraId="6CBBE35C" w14:textId="77777777" w:rsidR="00436B68" w:rsidRPr="00706AC9" w:rsidRDefault="00436B68">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14:paraId="5CC17AB0" w14:textId="1185EC2A" w:rsidR="00436B68" w:rsidRPr="00706AC9" w:rsidRDefault="00436B68">
            <w:pPr>
              <w:spacing w:after="0" w:line="240" w:lineRule="auto"/>
              <w:jc w:val="both"/>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Nav</w:t>
            </w:r>
          </w:p>
        </w:tc>
      </w:tr>
      <w:tr w:rsidR="00436B68" w:rsidRPr="00706AC9"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436B68" w:rsidRPr="00706AC9" w:rsidRDefault="00436B68" w:rsidP="00843976">
            <w:pPr>
              <w:spacing w:after="0" w:line="240" w:lineRule="auto"/>
              <w:ind w:firstLine="300"/>
              <w:jc w:val="center"/>
              <w:rPr>
                <w:rFonts w:ascii="Times New Roman" w:eastAsia="Times New Roman" w:hAnsi="Times New Roman" w:cs="Times New Roman"/>
                <w:b/>
                <w:bCs/>
                <w:sz w:val="24"/>
                <w:szCs w:val="24"/>
                <w:lang w:eastAsia="lv-LV"/>
              </w:rPr>
            </w:pPr>
          </w:p>
        </w:tc>
      </w:tr>
      <w:tr w:rsidR="00436B68" w:rsidRPr="00706AC9" w14:paraId="29A3C152" w14:textId="77777777"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9700816" w:rsidR="00436B68" w:rsidRPr="00706AC9" w:rsidRDefault="00436B68" w:rsidP="00843976">
            <w:pPr>
              <w:spacing w:after="0" w:line="240" w:lineRule="auto"/>
              <w:ind w:firstLine="300"/>
              <w:jc w:val="center"/>
              <w:rPr>
                <w:rFonts w:ascii="Times New Roman" w:eastAsia="Times New Roman" w:hAnsi="Times New Roman" w:cs="Times New Roman"/>
                <w:b/>
                <w:bCs/>
                <w:sz w:val="24"/>
                <w:szCs w:val="24"/>
                <w:lang w:eastAsia="lv-LV"/>
              </w:rPr>
            </w:pPr>
            <w:r w:rsidRPr="00706AC9">
              <w:rPr>
                <w:rFonts w:ascii="Times New Roman" w:eastAsia="Times New Roman" w:hAnsi="Times New Roman" w:cs="Times New Roman"/>
                <w:b/>
                <w:bCs/>
                <w:sz w:val="24"/>
                <w:szCs w:val="24"/>
                <w:lang w:eastAsia="lv-LV"/>
              </w:rPr>
              <w:t>III. Tiesību akta projekta ietekme uz valsts budžetu un pašvaldību budžetiem</w:t>
            </w:r>
          </w:p>
        </w:tc>
      </w:tr>
      <w:tr w:rsidR="00436B68" w:rsidRPr="00706AC9" w14:paraId="222181DC" w14:textId="77777777"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3D1678B5" w14:textId="167AA0F7" w:rsidR="00436B68" w:rsidRPr="00706AC9" w:rsidRDefault="00242FB8" w:rsidP="003E6303">
            <w:pPr>
              <w:spacing w:after="0" w:line="240" w:lineRule="auto"/>
              <w:jc w:val="center"/>
              <w:rPr>
                <w:rFonts w:ascii="Times New Roman" w:eastAsia="Times New Roman" w:hAnsi="Times New Roman" w:cs="Times New Roman"/>
                <w:b/>
                <w:bCs/>
                <w:sz w:val="24"/>
                <w:szCs w:val="24"/>
                <w:lang w:eastAsia="lv-LV"/>
              </w:rPr>
            </w:pPr>
            <w:r w:rsidRPr="003E6303">
              <w:rPr>
                <w:rFonts w:ascii="Times New Roman" w:eastAsia="Times New Roman" w:hAnsi="Times New Roman" w:cs="Times New Roman"/>
                <w:sz w:val="24"/>
                <w:szCs w:val="24"/>
                <w:lang w:eastAsia="lv-LV"/>
              </w:rPr>
              <w:t>Likump</w:t>
            </w:r>
            <w:r w:rsidR="00436B68" w:rsidRPr="003E6303">
              <w:rPr>
                <w:rFonts w:ascii="Times New Roman" w:eastAsia="Times New Roman" w:hAnsi="Times New Roman" w:cs="Times New Roman"/>
                <w:sz w:val="24"/>
                <w:szCs w:val="24"/>
                <w:lang w:eastAsia="lv-LV"/>
              </w:rPr>
              <w:t>rojekts šo jomu neskar.</w:t>
            </w:r>
          </w:p>
        </w:tc>
      </w:tr>
    </w:tbl>
    <w:p w14:paraId="717F7F2B" w14:textId="553CEE65" w:rsidR="004D15A9" w:rsidRPr="00706AC9" w:rsidRDefault="004D15A9" w:rsidP="0084397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167B10" w:rsidRPr="00706AC9" w14:paraId="4F0360E3"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706AC9" w:rsidRDefault="004D15A9">
            <w:pPr>
              <w:spacing w:after="0" w:line="240" w:lineRule="auto"/>
              <w:ind w:firstLine="300"/>
              <w:jc w:val="center"/>
              <w:rPr>
                <w:rFonts w:ascii="Times New Roman" w:eastAsia="Times New Roman" w:hAnsi="Times New Roman" w:cs="Times New Roman"/>
                <w:b/>
                <w:bCs/>
                <w:sz w:val="24"/>
                <w:szCs w:val="24"/>
                <w:lang w:eastAsia="lv-LV"/>
              </w:rPr>
            </w:pPr>
            <w:r w:rsidRPr="00706AC9">
              <w:rPr>
                <w:rFonts w:ascii="Times New Roman" w:eastAsia="Times New Roman" w:hAnsi="Times New Roman" w:cs="Times New Roman"/>
                <w:b/>
                <w:bCs/>
                <w:sz w:val="24"/>
                <w:szCs w:val="24"/>
                <w:lang w:eastAsia="lv-LV"/>
              </w:rPr>
              <w:t>IV. Tiesību akta projekta ietekme uz spēkā esošo tiesību normu sistēmu</w:t>
            </w:r>
          </w:p>
        </w:tc>
      </w:tr>
      <w:tr w:rsidR="00ED60F2" w:rsidRPr="00706AC9" w14:paraId="0A095662"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1A640465" w14:textId="797DD4CE" w:rsidR="00ED60F2" w:rsidRPr="00706AC9" w:rsidRDefault="00242FB8" w:rsidP="003E6303">
            <w:pPr>
              <w:spacing w:after="0" w:line="240" w:lineRule="auto"/>
              <w:jc w:val="center"/>
              <w:rPr>
                <w:rFonts w:ascii="Times New Roman" w:eastAsia="Times New Roman" w:hAnsi="Times New Roman" w:cs="Times New Roman"/>
                <w:b/>
                <w:bCs/>
                <w:sz w:val="24"/>
                <w:szCs w:val="24"/>
                <w:lang w:eastAsia="lv-LV"/>
              </w:rPr>
            </w:pPr>
            <w:r w:rsidRPr="003E6303">
              <w:rPr>
                <w:rFonts w:ascii="Times New Roman" w:eastAsia="Times New Roman" w:hAnsi="Times New Roman" w:cs="Times New Roman"/>
                <w:sz w:val="24"/>
                <w:szCs w:val="24"/>
                <w:lang w:eastAsia="lv-LV"/>
              </w:rPr>
              <w:t>Likump</w:t>
            </w:r>
            <w:r w:rsidR="00ED60F2" w:rsidRPr="003E6303">
              <w:rPr>
                <w:rFonts w:ascii="Times New Roman" w:eastAsia="Times New Roman" w:hAnsi="Times New Roman" w:cs="Times New Roman"/>
                <w:sz w:val="24"/>
                <w:szCs w:val="24"/>
                <w:lang w:eastAsia="lv-LV"/>
              </w:rPr>
              <w:t>rojekts šo jomu neskar.</w:t>
            </w:r>
          </w:p>
        </w:tc>
      </w:tr>
    </w:tbl>
    <w:p w14:paraId="2CBEBB46" w14:textId="77777777" w:rsidR="004D15A9" w:rsidRPr="00706AC9" w:rsidRDefault="004D15A9" w:rsidP="0084397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167B10" w:rsidRPr="00706AC9" w14:paraId="449CE8B0" w14:textId="77777777" w:rsidTr="005A7A1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E7B208F" w14:textId="56EE05F7" w:rsidR="00ED60F2" w:rsidRPr="00706AC9" w:rsidRDefault="00ED60F2">
            <w:pPr>
              <w:spacing w:after="0" w:line="240" w:lineRule="auto"/>
              <w:ind w:firstLine="300"/>
              <w:jc w:val="center"/>
              <w:rPr>
                <w:rFonts w:ascii="Times New Roman" w:eastAsia="Times New Roman" w:hAnsi="Times New Roman" w:cs="Times New Roman"/>
                <w:b/>
                <w:bCs/>
                <w:sz w:val="24"/>
                <w:szCs w:val="24"/>
                <w:lang w:eastAsia="lv-LV"/>
              </w:rPr>
            </w:pPr>
            <w:r w:rsidRPr="00706AC9">
              <w:rPr>
                <w:rFonts w:ascii="Times New Roman" w:eastAsia="Times New Roman" w:hAnsi="Times New Roman" w:cs="Times New Roman"/>
                <w:b/>
                <w:bCs/>
                <w:sz w:val="24"/>
                <w:szCs w:val="24"/>
                <w:lang w:eastAsia="lv-LV"/>
              </w:rPr>
              <w:t>V. Tiesību akta projekta atbilstība Latvijas Republikas starptautiskajām saistībām</w:t>
            </w:r>
          </w:p>
        </w:tc>
      </w:tr>
      <w:tr w:rsidR="00167B10" w:rsidRPr="00706AC9" w14:paraId="1929A32B" w14:textId="77777777" w:rsidTr="005A7A1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52978080" w14:textId="6B59E210" w:rsidR="00ED60F2" w:rsidRPr="00706AC9" w:rsidRDefault="00242FB8" w:rsidP="003E6303">
            <w:pPr>
              <w:spacing w:after="0" w:line="240" w:lineRule="auto"/>
              <w:jc w:val="center"/>
              <w:rPr>
                <w:rFonts w:ascii="Times New Roman" w:eastAsia="Times New Roman" w:hAnsi="Times New Roman" w:cs="Times New Roman"/>
                <w:b/>
                <w:bCs/>
                <w:sz w:val="24"/>
                <w:szCs w:val="24"/>
                <w:lang w:eastAsia="lv-LV"/>
              </w:rPr>
            </w:pPr>
            <w:r w:rsidRPr="003E6303">
              <w:rPr>
                <w:rFonts w:ascii="Times New Roman" w:eastAsia="Times New Roman" w:hAnsi="Times New Roman" w:cs="Times New Roman"/>
                <w:sz w:val="24"/>
                <w:szCs w:val="24"/>
                <w:lang w:eastAsia="lv-LV"/>
              </w:rPr>
              <w:t>Likumpr</w:t>
            </w:r>
            <w:r w:rsidR="00ED60F2" w:rsidRPr="003E6303">
              <w:rPr>
                <w:rFonts w:ascii="Times New Roman" w:eastAsia="Times New Roman" w:hAnsi="Times New Roman" w:cs="Times New Roman"/>
                <w:sz w:val="24"/>
                <w:szCs w:val="24"/>
                <w:lang w:eastAsia="lv-LV"/>
              </w:rPr>
              <w:t>ojekts šo jomu neskar.</w:t>
            </w:r>
          </w:p>
        </w:tc>
      </w:tr>
    </w:tbl>
    <w:p w14:paraId="689869D8" w14:textId="77777777" w:rsidR="00ED60F2" w:rsidRPr="00706AC9" w:rsidRDefault="00ED60F2" w:rsidP="0084397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706AC9"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706AC9" w:rsidRDefault="004D15A9">
            <w:pPr>
              <w:spacing w:after="0" w:line="240" w:lineRule="auto"/>
              <w:ind w:firstLine="300"/>
              <w:jc w:val="center"/>
              <w:rPr>
                <w:rFonts w:ascii="Times New Roman" w:eastAsia="Times New Roman" w:hAnsi="Times New Roman" w:cs="Times New Roman"/>
                <w:b/>
                <w:bCs/>
                <w:sz w:val="24"/>
                <w:szCs w:val="24"/>
                <w:lang w:eastAsia="lv-LV"/>
              </w:rPr>
            </w:pPr>
            <w:r w:rsidRPr="00706AC9">
              <w:rPr>
                <w:rFonts w:ascii="Times New Roman" w:eastAsia="Times New Roman" w:hAnsi="Times New Roman" w:cs="Times New Roman"/>
                <w:b/>
                <w:bCs/>
                <w:sz w:val="24"/>
                <w:szCs w:val="24"/>
                <w:lang w:eastAsia="lv-LV"/>
              </w:rPr>
              <w:t>VI. Sabiedrības līdzdalība un komunikācijas aktivitātes</w:t>
            </w:r>
          </w:p>
        </w:tc>
      </w:tr>
      <w:tr w:rsidR="00BC2633" w:rsidRPr="00706AC9"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lastRenderedPageBreak/>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706AC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224B52F3" w:rsidR="00720D15" w:rsidRPr="00DD11A1" w:rsidRDefault="00162715">
            <w:pPr>
              <w:spacing w:after="0" w:line="240" w:lineRule="auto"/>
              <w:jc w:val="both"/>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 xml:space="preserve">Informācija par </w:t>
            </w:r>
            <w:r w:rsidR="002C7BB7">
              <w:rPr>
                <w:rFonts w:ascii="Times New Roman" w:eastAsia="Times New Roman" w:hAnsi="Times New Roman" w:cs="Times New Roman"/>
                <w:sz w:val="24"/>
                <w:szCs w:val="24"/>
                <w:lang w:eastAsia="lv-LV"/>
              </w:rPr>
              <w:t>likum</w:t>
            </w:r>
            <w:r w:rsidRPr="00706AC9">
              <w:rPr>
                <w:rFonts w:ascii="Times New Roman" w:eastAsia="Times New Roman" w:hAnsi="Times New Roman" w:cs="Times New Roman"/>
                <w:sz w:val="24"/>
                <w:szCs w:val="24"/>
                <w:lang w:eastAsia="lv-LV"/>
              </w:rPr>
              <w:t xml:space="preserve">projektu </w:t>
            </w:r>
            <w:r w:rsidR="00DD11A1">
              <w:rPr>
                <w:rFonts w:ascii="Times New Roman" w:eastAsia="Times New Roman" w:hAnsi="Times New Roman" w:cs="Times New Roman"/>
                <w:sz w:val="24"/>
                <w:szCs w:val="24"/>
                <w:lang w:eastAsia="lv-LV"/>
              </w:rPr>
              <w:t>2021</w:t>
            </w:r>
            <w:r w:rsidRPr="00706AC9">
              <w:rPr>
                <w:rFonts w:ascii="Times New Roman" w:eastAsia="Times New Roman" w:hAnsi="Times New Roman" w:cs="Times New Roman"/>
                <w:sz w:val="24"/>
                <w:szCs w:val="24"/>
                <w:lang w:eastAsia="lv-LV"/>
              </w:rPr>
              <w:t>.</w:t>
            </w:r>
            <w:r w:rsidR="00242FB8">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gada</w:t>
            </w:r>
            <w:r w:rsidR="001C2EA8" w:rsidRPr="00706AC9">
              <w:rPr>
                <w:rFonts w:ascii="Times New Roman" w:eastAsia="Times New Roman" w:hAnsi="Times New Roman" w:cs="Times New Roman"/>
                <w:sz w:val="24"/>
                <w:szCs w:val="24"/>
                <w:lang w:eastAsia="lv-LV"/>
              </w:rPr>
              <w:t xml:space="preserve"> </w:t>
            </w:r>
            <w:r w:rsidR="00224BCF">
              <w:rPr>
                <w:rFonts w:ascii="Times New Roman" w:eastAsia="Times New Roman" w:hAnsi="Times New Roman" w:cs="Times New Roman"/>
                <w:sz w:val="24"/>
                <w:szCs w:val="24"/>
                <w:lang w:eastAsia="lv-LV"/>
              </w:rPr>
              <w:t>30</w:t>
            </w:r>
            <w:r w:rsidR="00C9653E" w:rsidRPr="005607FC">
              <w:rPr>
                <w:rFonts w:ascii="Times New Roman" w:eastAsia="Times New Roman" w:hAnsi="Times New Roman" w:cs="Times New Roman"/>
                <w:sz w:val="24"/>
                <w:szCs w:val="24"/>
                <w:lang w:eastAsia="lv-LV"/>
              </w:rPr>
              <w:t>.</w:t>
            </w:r>
            <w:r w:rsidR="00510523" w:rsidRPr="005607FC">
              <w:rPr>
                <w:rFonts w:ascii="Times New Roman" w:eastAsia="Times New Roman" w:hAnsi="Times New Roman" w:cs="Times New Roman"/>
                <w:sz w:val="24"/>
                <w:szCs w:val="24"/>
                <w:lang w:eastAsia="lv-LV"/>
              </w:rPr>
              <w:t> </w:t>
            </w:r>
            <w:r w:rsidR="005607FC" w:rsidRPr="005607FC">
              <w:rPr>
                <w:rFonts w:ascii="Times New Roman" w:eastAsia="Times New Roman" w:hAnsi="Times New Roman" w:cs="Times New Roman"/>
                <w:sz w:val="24"/>
                <w:szCs w:val="24"/>
                <w:lang w:eastAsia="lv-LV"/>
              </w:rPr>
              <w:t>jūlijā</w:t>
            </w:r>
            <w:r w:rsidR="00510523" w:rsidRPr="00706AC9">
              <w:rPr>
                <w:rFonts w:ascii="Times New Roman" w:eastAsia="Times New Roman" w:hAnsi="Times New Roman" w:cs="Times New Roman"/>
                <w:sz w:val="24"/>
                <w:szCs w:val="24"/>
                <w:lang w:eastAsia="lv-LV"/>
              </w:rPr>
              <w:t xml:space="preserve"> </w:t>
            </w:r>
            <w:r w:rsidRPr="00A01F12">
              <w:rPr>
                <w:rFonts w:ascii="Times New Roman" w:eastAsia="Times New Roman" w:hAnsi="Times New Roman" w:cs="Times New Roman"/>
                <w:sz w:val="24"/>
                <w:szCs w:val="24"/>
                <w:lang w:eastAsia="lv-LV"/>
              </w:rPr>
              <w:t>tika ievietota Tieslietu ministrijas</w:t>
            </w:r>
            <w:r w:rsidR="001C2EA8" w:rsidRPr="00A01F12">
              <w:rPr>
                <w:rFonts w:ascii="Times New Roman" w:eastAsia="Times New Roman" w:hAnsi="Times New Roman" w:cs="Times New Roman"/>
                <w:sz w:val="24"/>
                <w:szCs w:val="24"/>
                <w:lang w:eastAsia="lv-LV"/>
              </w:rPr>
              <w:t xml:space="preserve"> un Valsts kanceleja</w:t>
            </w:r>
            <w:r w:rsidR="00240918">
              <w:rPr>
                <w:rFonts w:ascii="Times New Roman" w:eastAsia="Times New Roman" w:hAnsi="Times New Roman" w:cs="Times New Roman"/>
                <w:sz w:val="24"/>
                <w:szCs w:val="24"/>
                <w:lang w:eastAsia="lv-LV"/>
              </w:rPr>
              <w:t>s</w:t>
            </w:r>
            <w:r w:rsidR="001C2EA8" w:rsidRPr="00A01F12">
              <w:rPr>
                <w:rFonts w:ascii="Times New Roman" w:eastAsia="Times New Roman" w:hAnsi="Times New Roman" w:cs="Times New Roman"/>
                <w:sz w:val="24"/>
                <w:szCs w:val="24"/>
                <w:lang w:eastAsia="lv-LV"/>
              </w:rPr>
              <w:t xml:space="preserve"> </w:t>
            </w:r>
            <w:r w:rsidR="00A01F12" w:rsidRPr="00A01F12">
              <w:rPr>
                <w:rFonts w:ascii="Times New Roman" w:hAnsi="Times New Roman" w:cs="Times New Roman"/>
                <w:sz w:val="24"/>
                <w:szCs w:val="24"/>
              </w:rPr>
              <w:t>tīmekļvietnē</w:t>
            </w:r>
            <w:r w:rsidRPr="00A01F12">
              <w:rPr>
                <w:rFonts w:ascii="Times New Roman" w:eastAsia="Times New Roman" w:hAnsi="Times New Roman" w:cs="Times New Roman"/>
                <w:sz w:val="24"/>
                <w:szCs w:val="24"/>
                <w:lang w:eastAsia="lv-LV"/>
              </w:rPr>
              <w:t>, lai sabiedrības pārstāvji saskaņā ar Ministru kabineta 2009.</w:t>
            </w:r>
            <w:r w:rsidR="00242FB8" w:rsidRPr="00A01F12">
              <w:rPr>
                <w:rFonts w:ascii="Times New Roman" w:eastAsia="Times New Roman" w:hAnsi="Times New Roman" w:cs="Times New Roman"/>
                <w:sz w:val="24"/>
                <w:szCs w:val="24"/>
                <w:lang w:eastAsia="lv-LV"/>
              </w:rPr>
              <w:t> </w:t>
            </w:r>
            <w:r w:rsidRPr="00A01F12">
              <w:rPr>
                <w:rFonts w:ascii="Times New Roman" w:eastAsia="Times New Roman" w:hAnsi="Times New Roman" w:cs="Times New Roman"/>
                <w:sz w:val="24"/>
                <w:szCs w:val="24"/>
                <w:lang w:eastAsia="lv-LV"/>
              </w:rPr>
              <w:t>gada 25.</w:t>
            </w:r>
            <w:r w:rsidR="00242FB8" w:rsidRPr="00A01F12">
              <w:rPr>
                <w:rFonts w:ascii="Times New Roman" w:eastAsia="Times New Roman" w:hAnsi="Times New Roman" w:cs="Times New Roman"/>
                <w:sz w:val="24"/>
                <w:szCs w:val="24"/>
                <w:lang w:eastAsia="lv-LV"/>
              </w:rPr>
              <w:t> </w:t>
            </w:r>
            <w:r w:rsidRPr="00A01F12">
              <w:rPr>
                <w:rFonts w:ascii="Times New Roman" w:eastAsia="Times New Roman" w:hAnsi="Times New Roman" w:cs="Times New Roman"/>
                <w:sz w:val="24"/>
                <w:szCs w:val="24"/>
                <w:lang w:eastAsia="lv-LV"/>
              </w:rPr>
              <w:t>augusta noteikumu Nr.</w:t>
            </w:r>
            <w:r w:rsidR="00242FB8" w:rsidRPr="00A01F12">
              <w:rPr>
                <w:rFonts w:ascii="Times New Roman" w:eastAsia="Times New Roman" w:hAnsi="Times New Roman" w:cs="Times New Roman"/>
                <w:sz w:val="24"/>
                <w:szCs w:val="24"/>
                <w:lang w:eastAsia="lv-LV"/>
              </w:rPr>
              <w:t> </w:t>
            </w:r>
            <w:r w:rsidRPr="00A01F12">
              <w:rPr>
                <w:rFonts w:ascii="Times New Roman" w:eastAsia="Times New Roman" w:hAnsi="Times New Roman" w:cs="Times New Roman"/>
                <w:sz w:val="24"/>
                <w:szCs w:val="24"/>
                <w:lang w:eastAsia="lv-LV"/>
              </w:rPr>
              <w:t>970 "Sabiedrības līdzdalības kārtība attīstības plānošanas procesā" 7.4.</w:t>
            </w:r>
            <w:r w:rsidRPr="00A01F12">
              <w:rPr>
                <w:rFonts w:ascii="Times New Roman" w:eastAsia="Times New Roman" w:hAnsi="Times New Roman" w:cs="Times New Roman"/>
                <w:sz w:val="24"/>
                <w:szCs w:val="24"/>
                <w:vertAlign w:val="superscript"/>
                <w:lang w:eastAsia="lv-LV"/>
              </w:rPr>
              <w:t>1</w:t>
            </w:r>
            <w:r w:rsidR="00242FB8" w:rsidRPr="00A01F12">
              <w:rPr>
                <w:rFonts w:ascii="Times New Roman" w:eastAsia="Times New Roman" w:hAnsi="Times New Roman" w:cs="Times New Roman"/>
                <w:sz w:val="24"/>
                <w:szCs w:val="24"/>
                <w:lang w:eastAsia="lv-LV"/>
              </w:rPr>
              <w:t> </w:t>
            </w:r>
            <w:r w:rsidRPr="00A01F12">
              <w:rPr>
                <w:rFonts w:ascii="Times New Roman" w:eastAsia="Times New Roman" w:hAnsi="Times New Roman" w:cs="Times New Roman"/>
                <w:sz w:val="24"/>
                <w:szCs w:val="24"/>
                <w:lang w:eastAsia="lv-LV"/>
              </w:rPr>
              <w:t>apakšpunktu varētu</w:t>
            </w:r>
            <w:r w:rsidRPr="00706AC9">
              <w:rPr>
                <w:rFonts w:ascii="Times New Roman" w:eastAsia="Times New Roman" w:hAnsi="Times New Roman" w:cs="Times New Roman"/>
                <w:sz w:val="24"/>
                <w:szCs w:val="24"/>
                <w:lang w:eastAsia="lv-LV"/>
              </w:rPr>
              <w:t xml:space="preserve"> sniegt viedokli par </w:t>
            </w:r>
            <w:r w:rsidR="002C7BB7">
              <w:rPr>
                <w:rFonts w:ascii="Times New Roman" w:eastAsia="Times New Roman" w:hAnsi="Times New Roman" w:cs="Times New Roman"/>
                <w:sz w:val="24"/>
                <w:szCs w:val="24"/>
                <w:lang w:eastAsia="lv-LV"/>
              </w:rPr>
              <w:t>likum</w:t>
            </w:r>
            <w:r w:rsidRPr="00706AC9">
              <w:rPr>
                <w:rFonts w:ascii="Times New Roman" w:eastAsia="Times New Roman" w:hAnsi="Times New Roman" w:cs="Times New Roman"/>
                <w:sz w:val="24"/>
                <w:szCs w:val="24"/>
                <w:lang w:eastAsia="lv-LV"/>
              </w:rPr>
              <w:t>projektu tā izstrādes stadijā.</w:t>
            </w:r>
          </w:p>
        </w:tc>
      </w:tr>
      <w:tr w:rsidR="00BC2633" w:rsidRPr="00706AC9"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76572F44" w14:textId="77777777" w:rsidR="004D15A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Sabiedrības līdzdalība projekta izstrādē</w:t>
            </w:r>
          </w:p>
          <w:p w14:paraId="3A05EDEF" w14:textId="77777777" w:rsidR="00605207" w:rsidRPr="00605207" w:rsidRDefault="00605207" w:rsidP="003E6303">
            <w:pPr>
              <w:spacing w:line="240" w:lineRule="auto"/>
              <w:rPr>
                <w:rFonts w:ascii="Times New Roman" w:eastAsia="Times New Roman" w:hAnsi="Times New Roman" w:cs="Times New Roman"/>
                <w:sz w:val="24"/>
                <w:szCs w:val="24"/>
                <w:lang w:eastAsia="lv-LV"/>
              </w:rPr>
            </w:pPr>
          </w:p>
          <w:p w14:paraId="7320EB6C" w14:textId="77777777" w:rsidR="00605207" w:rsidRPr="00605207" w:rsidRDefault="00605207" w:rsidP="003E6303">
            <w:pPr>
              <w:spacing w:line="240" w:lineRule="auto"/>
              <w:rPr>
                <w:rFonts w:ascii="Times New Roman" w:eastAsia="Times New Roman" w:hAnsi="Times New Roman" w:cs="Times New Roman"/>
                <w:sz w:val="24"/>
                <w:szCs w:val="24"/>
                <w:lang w:eastAsia="lv-LV"/>
              </w:rPr>
            </w:pPr>
          </w:p>
          <w:p w14:paraId="51458DA5" w14:textId="77777777" w:rsidR="00605207" w:rsidRDefault="00605207" w:rsidP="003E6303">
            <w:pPr>
              <w:spacing w:line="240" w:lineRule="auto"/>
              <w:rPr>
                <w:rFonts w:ascii="Times New Roman" w:eastAsia="Times New Roman" w:hAnsi="Times New Roman" w:cs="Times New Roman"/>
                <w:sz w:val="24"/>
                <w:szCs w:val="24"/>
                <w:lang w:eastAsia="lv-LV"/>
              </w:rPr>
            </w:pPr>
          </w:p>
          <w:p w14:paraId="0010C84B" w14:textId="50F49002" w:rsidR="00605207" w:rsidRPr="00605207" w:rsidRDefault="00605207" w:rsidP="003E6303">
            <w:pPr>
              <w:spacing w:line="240" w:lineRule="auto"/>
              <w:ind w:firstLine="720"/>
              <w:rPr>
                <w:rFonts w:ascii="Times New Roman" w:eastAsia="Times New Roman" w:hAnsi="Times New Roman" w:cs="Times New Roman"/>
                <w:sz w:val="24"/>
                <w:szCs w:val="24"/>
                <w:lang w:eastAsia="lv-LV"/>
              </w:rPr>
            </w:pPr>
          </w:p>
        </w:tc>
        <w:tc>
          <w:tcPr>
            <w:tcW w:w="3361" w:type="pct"/>
            <w:tcBorders>
              <w:top w:val="outset" w:sz="6" w:space="0" w:color="414142"/>
              <w:left w:val="outset" w:sz="6" w:space="0" w:color="414142"/>
              <w:bottom w:val="outset" w:sz="6" w:space="0" w:color="414142"/>
              <w:right w:val="outset" w:sz="6" w:space="0" w:color="414142"/>
            </w:tcBorders>
            <w:hideMark/>
          </w:tcPr>
          <w:p w14:paraId="79AB225F" w14:textId="19E26DA5" w:rsidR="001C2EA8" w:rsidRPr="00706AC9" w:rsidRDefault="001C2EA8" w:rsidP="00843976">
            <w:pPr>
              <w:spacing w:after="0" w:line="240" w:lineRule="auto"/>
              <w:jc w:val="both"/>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 xml:space="preserve">Lai informētu sabiedrību par </w:t>
            </w:r>
            <w:r w:rsidR="002C7BB7">
              <w:rPr>
                <w:rFonts w:ascii="Times New Roman" w:eastAsia="Times New Roman" w:hAnsi="Times New Roman" w:cs="Times New Roman"/>
                <w:sz w:val="24"/>
                <w:szCs w:val="24"/>
                <w:lang w:eastAsia="lv-LV"/>
              </w:rPr>
              <w:t>likum</w:t>
            </w:r>
            <w:r w:rsidRPr="00706AC9">
              <w:rPr>
                <w:rFonts w:ascii="Times New Roman" w:eastAsia="Times New Roman" w:hAnsi="Times New Roman" w:cs="Times New Roman"/>
                <w:sz w:val="24"/>
                <w:szCs w:val="24"/>
                <w:lang w:eastAsia="lv-LV"/>
              </w:rPr>
              <w:t xml:space="preserve">projektu un dotu iespēju izteikt par to viedokļus, </w:t>
            </w:r>
            <w:r w:rsidR="002C7BB7">
              <w:rPr>
                <w:rFonts w:ascii="Times New Roman" w:eastAsia="Times New Roman" w:hAnsi="Times New Roman" w:cs="Times New Roman"/>
                <w:sz w:val="24"/>
                <w:szCs w:val="24"/>
                <w:lang w:eastAsia="lv-LV"/>
              </w:rPr>
              <w:t>likum</w:t>
            </w:r>
            <w:r w:rsidRPr="00706AC9">
              <w:rPr>
                <w:rFonts w:ascii="Times New Roman" w:eastAsia="Times New Roman" w:hAnsi="Times New Roman" w:cs="Times New Roman"/>
                <w:sz w:val="24"/>
                <w:szCs w:val="24"/>
                <w:lang w:eastAsia="lv-LV"/>
              </w:rPr>
              <w:t>projekts saskaņā ar Ministru kabineta 2009.</w:t>
            </w:r>
            <w:r w:rsidR="00B26522" w:rsidRPr="00706AC9">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gada 25.</w:t>
            </w:r>
            <w:r w:rsidR="00B26522" w:rsidRPr="00706AC9">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augusta noteikumu Nr.</w:t>
            </w:r>
            <w:r w:rsidR="00B26522" w:rsidRPr="00706AC9">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 xml:space="preserve">970 "Sabiedrības līdzdalības kārtība attīstības plānošanas procesā" 13. </w:t>
            </w:r>
            <w:r w:rsidR="00B26522" w:rsidRPr="00706AC9">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un 14.</w:t>
            </w:r>
            <w:r w:rsidR="00B26522" w:rsidRPr="00706AC9">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 xml:space="preserve">punktu </w:t>
            </w:r>
            <w:r w:rsidR="003D67F6">
              <w:rPr>
                <w:rFonts w:ascii="Times New Roman" w:eastAsia="Times New Roman" w:hAnsi="Times New Roman" w:cs="Times New Roman"/>
                <w:sz w:val="24"/>
                <w:szCs w:val="24"/>
                <w:lang w:eastAsia="lv-LV"/>
              </w:rPr>
              <w:t>2021</w:t>
            </w:r>
            <w:r w:rsidR="000072CF" w:rsidRPr="00706AC9">
              <w:rPr>
                <w:rFonts w:ascii="Times New Roman" w:eastAsia="Times New Roman" w:hAnsi="Times New Roman" w:cs="Times New Roman"/>
                <w:sz w:val="24"/>
                <w:szCs w:val="24"/>
                <w:lang w:eastAsia="lv-LV"/>
              </w:rPr>
              <w:t>.</w:t>
            </w:r>
            <w:r w:rsidR="005D49DD">
              <w:rPr>
                <w:rFonts w:ascii="Times New Roman" w:eastAsia="Times New Roman" w:hAnsi="Times New Roman" w:cs="Times New Roman"/>
                <w:sz w:val="24"/>
                <w:szCs w:val="24"/>
                <w:lang w:eastAsia="lv-LV"/>
              </w:rPr>
              <w:t> </w:t>
            </w:r>
            <w:r w:rsidR="000072CF" w:rsidRPr="00706AC9">
              <w:rPr>
                <w:rFonts w:ascii="Times New Roman" w:eastAsia="Times New Roman" w:hAnsi="Times New Roman" w:cs="Times New Roman"/>
                <w:sz w:val="24"/>
                <w:szCs w:val="24"/>
                <w:lang w:eastAsia="lv-LV"/>
              </w:rPr>
              <w:t xml:space="preserve">gada </w:t>
            </w:r>
            <w:r w:rsidR="00224BCF">
              <w:rPr>
                <w:rFonts w:ascii="Times New Roman" w:eastAsia="Times New Roman" w:hAnsi="Times New Roman" w:cs="Times New Roman"/>
                <w:sz w:val="24"/>
                <w:szCs w:val="24"/>
                <w:lang w:eastAsia="lv-LV"/>
              </w:rPr>
              <w:t>30</w:t>
            </w:r>
            <w:r w:rsidR="00C9653E" w:rsidRPr="005607FC">
              <w:rPr>
                <w:rFonts w:ascii="Times New Roman" w:eastAsia="Times New Roman" w:hAnsi="Times New Roman" w:cs="Times New Roman"/>
                <w:sz w:val="24"/>
                <w:szCs w:val="24"/>
                <w:lang w:eastAsia="lv-LV"/>
              </w:rPr>
              <w:t>. jūlijā</w:t>
            </w:r>
            <w:r w:rsidR="00C9653E" w:rsidRPr="00706AC9">
              <w:rPr>
                <w:rFonts w:ascii="Times New Roman" w:eastAsia="Times New Roman" w:hAnsi="Times New Roman" w:cs="Times New Roman"/>
                <w:sz w:val="24"/>
                <w:szCs w:val="24"/>
                <w:lang w:eastAsia="lv-LV"/>
              </w:rPr>
              <w:t xml:space="preserve"> </w:t>
            </w:r>
            <w:r w:rsidR="000072CF" w:rsidRPr="00706AC9">
              <w:rPr>
                <w:rFonts w:ascii="Times New Roman" w:eastAsia="Times New Roman" w:hAnsi="Times New Roman" w:cs="Times New Roman"/>
                <w:sz w:val="24"/>
                <w:szCs w:val="24"/>
                <w:lang w:eastAsia="lv-LV"/>
              </w:rPr>
              <w:t xml:space="preserve">tika </w:t>
            </w:r>
            <w:r w:rsidRPr="00706AC9">
              <w:rPr>
                <w:rFonts w:ascii="Times New Roman" w:eastAsia="Times New Roman" w:hAnsi="Times New Roman" w:cs="Times New Roman"/>
                <w:sz w:val="24"/>
                <w:szCs w:val="24"/>
                <w:lang w:eastAsia="lv-LV"/>
              </w:rPr>
              <w:t xml:space="preserve">ievietots Tieslietu ministrijas </w:t>
            </w:r>
            <w:r w:rsidR="004872C2" w:rsidRPr="004872C2">
              <w:rPr>
                <w:rFonts w:ascii="Times New Roman" w:eastAsia="Times New Roman" w:hAnsi="Times New Roman" w:cs="Times New Roman"/>
                <w:sz w:val="24"/>
                <w:szCs w:val="24"/>
                <w:lang w:eastAsia="lv-LV"/>
              </w:rPr>
              <w:t>(</w:t>
            </w:r>
            <w:r w:rsidR="004872C2" w:rsidRPr="00510523">
              <w:rPr>
                <w:rFonts w:ascii="Times New Roman" w:eastAsia="Times New Roman" w:hAnsi="Times New Roman" w:cs="Times New Roman"/>
                <w:sz w:val="24"/>
                <w:szCs w:val="24"/>
                <w:highlight w:val="yellow"/>
                <w:lang w:eastAsia="lv-LV"/>
              </w:rPr>
              <w:t>saite:</w:t>
            </w:r>
            <w:r w:rsidR="004872C2" w:rsidRPr="00605207">
              <w:rPr>
                <w:rFonts w:ascii="Times New Roman" w:hAnsi="Times New Roman" w:cs="Times New Roman"/>
                <w:sz w:val="24"/>
                <w:szCs w:val="24"/>
              </w:rPr>
              <w:t>)</w:t>
            </w:r>
            <w:r w:rsidR="00B255FA">
              <w:rPr>
                <w:rFonts w:ascii="Times New Roman" w:hAnsi="Times New Roman" w:cs="Times New Roman"/>
                <w:sz w:val="24"/>
                <w:szCs w:val="24"/>
              </w:rPr>
              <w:t xml:space="preserve"> </w:t>
            </w:r>
            <w:r w:rsidRPr="00706AC9">
              <w:rPr>
                <w:rFonts w:ascii="Times New Roman" w:eastAsia="Times New Roman" w:hAnsi="Times New Roman" w:cs="Times New Roman"/>
                <w:sz w:val="24"/>
                <w:szCs w:val="24"/>
                <w:lang w:eastAsia="lv-LV"/>
              </w:rPr>
              <w:t xml:space="preserve">un Valsts </w:t>
            </w:r>
            <w:r w:rsidRPr="00A01F12">
              <w:rPr>
                <w:rFonts w:ascii="Times New Roman" w:eastAsia="Times New Roman" w:hAnsi="Times New Roman" w:cs="Times New Roman"/>
                <w:sz w:val="24"/>
                <w:szCs w:val="24"/>
                <w:lang w:eastAsia="lv-LV"/>
              </w:rPr>
              <w:t xml:space="preserve">kancelejas </w:t>
            </w:r>
            <w:r w:rsidR="00A01F12" w:rsidRPr="00A01F12">
              <w:rPr>
                <w:rFonts w:ascii="Times New Roman" w:hAnsi="Times New Roman" w:cs="Times New Roman"/>
                <w:sz w:val="24"/>
                <w:szCs w:val="24"/>
              </w:rPr>
              <w:t>tīmekļvietnē</w:t>
            </w:r>
            <w:r w:rsidRPr="00A01F12">
              <w:rPr>
                <w:rFonts w:ascii="Times New Roman" w:eastAsia="Times New Roman" w:hAnsi="Times New Roman" w:cs="Times New Roman"/>
                <w:sz w:val="24"/>
                <w:szCs w:val="24"/>
                <w:lang w:eastAsia="lv-LV"/>
              </w:rPr>
              <w:t>.</w:t>
            </w:r>
          </w:p>
          <w:p w14:paraId="1EE08E29" w14:textId="1C4CBBAB" w:rsidR="000C08BC" w:rsidRPr="00706AC9" w:rsidRDefault="001C2EA8">
            <w:pPr>
              <w:spacing w:after="0" w:line="240" w:lineRule="auto"/>
              <w:jc w:val="both"/>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Sabiedrības pārstāvji saskaņā ar Ministru kabineta 2009.</w:t>
            </w:r>
            <w:r w:rsidR="00B26522" w:rsidRPr="00706AC9">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gada 25.</w:t>
            </w:r>
            <w:r w:rsidR="00B26522" w:rsidRPr="00706AC9">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augusta noteikumu Nr.</w:t>
            </w:r>
            <w:r w:rsidR="004872C2">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970 "Sabiedrības līdzdalības kārtība attīstības plānošanas procesā" 7.4.</w:t>
            </w:r>
            <w:r w:rsidRPr="00706AC9">
              <w:rPr>
                <w:rFonts w:ascii="Times New Roman" w:eastAsia="Times New Roman" w:hAnsi="Times New Roman" w:cs="Times New Roman"/>
                <w:sz w:val="24"/>
                <w:szCs w:val="24"/>
                <w:vertAlign w:val="superscript"/>
                <w:lang w:eastAsia="lv-LV"/>
              </w:rPr>
              <w:t>1</w:t>
            </w:r>
            <w:r w:rsidR="004872C2">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 xml:space="preserve">apakšpunktu līdz </w:t>
            </w:r>
            <w:r w:rsidR="00DD11A1">
              <w:rPr>
                <w:rFonts w:ascii="Times New Roman" w:eastAsia="Times New Roman" w:hAnsi="Times New Roman" w:cs="Times New Roman"/>
                <w:sz w:val="24"/>
                <w:szCs w:val="24"/>
                <w:lang w:eastAsia="lv-LV"/>
              </w:rPr>
              <w:t>2021</w:t>
            </w:r>
            <w:r w:rsidRPr="00706AC9">
              <w:rPr>
                <w:rFonts w:ascii="Times New Roman" w:eastAsia="Times New Roman" w:hAnsi="Times New Roman" w:cs="Times New Roman"/>
                <w:sz w:val="24"/>
                <w:szCs w:val="24"/>
                <w:lang w:eastAsia="lv-LV"/>
              </w:rPr>
              <w:t>.</w:t>
            </w:r>
            <w:r w:rsidR="00B26522" w:rsidRPr="00706AC9">
              <w:rPr>
                <w:rFonts w:ascii="Times New Roman" w:eastAsia="Times New Roman" w:hAnsi="Times New Roman" w:cs="Times New Roman"/>
                <w:sz w:val="24"/>
                <w:szCs w:val="24"/>
                <w:lang w:eastAsia="lv-LV"/>
              </w:rPr>
              <w:t>  </w:t>
            </w:r>
            <w:r w:rsidRPr="00706AC9">
              <w:rPr>
                <w:rFonts w:ascii="Times New Roman" w:eastAsia="Times New Roman" w:hAnsi="Times New Roman" w:cs="Times New Roman"/>
                <w:sz w:val="24"/>
                <w:szCs w:val="24"/>
                <w:lang w:eastAsia="lv-LV"/>
              </w:rPr>
              <w:t xml:space="preserve">gada </w:t>
            </w:r>
            <w:r w:rsidR="005607FC" w:rsidRPr="005607FC">
              <w:rPr>
                <w:rFonts w:ascii="Times New Roman" w:eastAsia="Times New Roman" w:hAnsi="Times New Roman" w:cs="Times New Roman"/>
                <w:sz w:val="24"/>
                <w:szCs w:val="24"/>
                <w:lang w:eastAsia="lv-LV"/>
              </w:rPr>
              <w:t>1</w:t>
            </w:r>
            <w:r w:rsidR="00224BCF">
              <w:rPr>
                <w:rFonts w:ascii="Times New Roman" w:eastAsia="Times New Roman" w:hAnsi="Times New Roman" w:cs="Times New Roman"/>
                <w:sz w:val="24"/>
                <w:szCs w:val="24"/>
                <w:lang w:eastAsia="lv-LV"/>
              </w:rPr>
              <w:t>3</w:t>
            </w:r>
            <w:r w:rsidRPr="005607FC">
              <w:rPr>
                <w:rFonts w:ascii="Times New Roman" w:eastAsia="Times New Roman" w:hAnsi="Times New Roman" w:cs="Times New Roman"/>
                <w:sz w:val="24"/>
                <w:szCs w:val="24"/>
                <w:lang w:eastAsia="lv-LV"/>
              </w:rPr>
              <w:t>.</w:t>
            </w:r>
            <w:r w:rsidR="00B26522" w:rsidRPr="005607FC">
              <w:rPr>
                <w:rFonts w:ascii="Times New Roman" w:eastAsia="Times New Roman" w:hAnsi="Times New Roman" w:cs="Times New Roman"/>
                <w:sz w:val="24"/>
                <w:szCs w:val="24"/>
                <w:lang w:eastAsia="lv-LV"/>
              </w:rPr>
              <w:t> </w:t>
            </w:r>
            <w:r w:rsidR="00C9653E">
              <w:rPr>
                <w:rFonts w:ascii="Times New Roman" w:eastAsia="Times New Roman" w:hAnsi="Times New Roman" w:cs="Times New Roman"/>
                <w:sz w:val="24"/>
                <w:szCs w:val="24"/>
                <w:lang w:eastAsia="lv-LV"/>
              </w:rPr>
              <w:t>augustam</w:t>
            </w:r>
            <w:r w:rsidRPr="00706AC9">
              <w:rPr>
                <w:rFonts w:ascii="Times New Roman" w:eastAsia="Times New Roman" w:hAnsi="Times New Roman" w:cs="Times New Roman"/>
                <w:sz w:val="24"/>
                <w:szCs w:val="24"/>
                <w:lang w:eastAsia="lv-LV"/>
              </w:rPr>
              <w:t xml:space="preserve"> varē</w:t>
            </w:r>
            <w:r w:rsidR="00B26522" w:rsidRPr="00706AC9">
              <w:rPr>
                <w:rFonts w:ascii="Times New Roman" w:eastAsia="Times New Roman" w:hAnsi="Times New Roman" w:cs="Times New Roman"/>
                <w:sz w:val="24"/>
                <w:szCs w:val="24"/>
                <w:lang w:eastAsia="lv-LV"/>
              </w:rPr>
              <w:t>ja</w:t>
            </w:r>
            <w:r w:rsidRPr="00706AC9">
              <w:rPr>
                <w:rFonts w:ascii="Times New Roman" w:eastAsia="Times New Roman" w:hAnsi="Times New Roman" w:cs="Times New Roman"/>
                <w:sz w:val="24"/>
                <w:szCs w:val="24"/>
                <w:lang w:eastAsia="lv-LV"/>
              </w:rPr>
              <w:t xml:space="preserve"> sniegt viedokli par </w:t>
            </w:r>
            <w:r w:rsidR="002C7BB7">
              <w:rPr>
                <w:rFonts w:ascii="Times New Roman" w:eastAsia="Times New Roman" w:hAnsi="Times New Roman" w:cs="Times New Roman"/>
                <w:sz w:val="24"/>
                <w:szCs w:val="24"/>
                <w:lang w:eastAsia="lv-LV"/>
              </w:rPr>
              <w:t>likum</w:t>
            </w:r>
            <w:r w:rsidRPr="00706AC9">
              <w:rPr>
                <w:rFonts w:ascii="Times New Roman" w:eastAsia="Times New Roman" w:hAnsi="Times New Roman" w:cs="Times New Roman"/>
                <w:sz w:val="24"/>
                <w:szCs w:val="24"/>
                <w:lang w:eastAsia="lv-LV"/>
              </w:rPr>
              <w:t>projektu tā izstrādes stadijā.</w:t>
            </w:r>
          </w:p>
        </w:tc>
      </w:tr>
      <w:tr w:rsidR="00BC2633" w:rsidRPr="00706AC9"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706AC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31F57C01" w:rsidR="004E084B" w:rsidRPr="00706AC9" w:rsidRDefault="004E084B">
            <w:pPr>
              <w:spacing w:after="0" w:line="240" w:lineRule="auto"/>
              <w:jc w:val="both"/>
              <w:rPr>
                <w:rFonts w:ascii="Times New Roman" w:hAnsi="Times New Roman" w:cs="Times New Roman"/>
                <w:sz w:val="24"/>
                <w:szCs w:val="24"/>
                <w:shd w:val="clear" w:color="auto" w:fill="FFFFFF"/>
              </w:rPr>
            </w:pPr>
          </w:p>
        </w:tc>
      </w:tr>
      <w:tr w:rsidR="004D15A9" w:rsidRPr="00706AC9"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64C6283E"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706AC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06803679" w:rsidR="004D15A9" w:rsidRPr="00706AC9" w:rsidRDefault="004E084B">
            <w:pPr>
              <w:spacing w:after="0" w:line="240" w:lineRule="auto"/>
              <w:jc w:val="both"/>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Nav</w:t>
            </w:r>
          </w:p>
        </w:tc>
      </w:tr>
    </w:tbl>
    <w:p w14:paraId="569A45C0" w14:textId="77777777" w:rsidR="004D15A9" w:rsidRPr="00706AC9" w:rsidRDefault="004D15A9" w:rsidP="0084397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706AC9"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706AC9" w:rsidRDefault="004D15A9">
            <w:pPr>
              <w:spacing w:after="0" w:line="240" w:lineRule="auto"/>
              <w:ind w:firstLine="300"/>
              <w:jc w:val="center"/>
              <w:rPr>
                <w:rFonts w:ascii="Times New Roman" w:eastAsia="Times New Roman" w:hAnsi="Times New Roman" w:cs="Times New Roman"/>
                <w:b/>
                <w:bCs/>
                <w:sz w:val="24"/>
                <w:szCs w:val="24"/>
                <w:lang w:eastAsia="lv-LV"/>
              </w:rPr>
            </w:pPr>
            <w:r w:rsidRPr="00706AC9">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706AC9"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706AC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7D2DA8A7" w14:textId="1E363E8E" w:rsidR="004E084B" w:rsidRPr="00706AC9" w:rsidRDefault="004E084B">
            <w:pPr>
              <w:spacing w:after="0" w:line="240" w:lineRule="auto"/>
              <w:jc w:val="both"/>
              <w:rPr>
                <w:rFonts w:ascii="Times New Roman" w:eastAsia="Times New Roman" w:hAnsi="Times New Roman" w:cs="Times New Roman"/>
                <w:sz w:val="24"/>
                <w:szCs w:val="24"/>
                <w:lang w:eastAsia="lv-LV"/>
              </w:rPr>
            </w:pPr>
            <w:r w:rsidRPr="00C257A1">
              <w:rPr>
                <w:rFonts w:ascii="Times New Roman" w:eastAsia="Times New Roman" w:hAnsi="Times New Roman" w:cs="Times New Roman"/>
                <w:sz w:val="24"/>
                <w:szCs w:val="24"/>
                <w:lang w:eastAsia="lv-LV"/>
              </w:rPr>
              <w:t xml:space="preserve">Tieslietu ministrija, </w:t>
            </w:r>
            <w:r w:rsidR="003B68EC" w:rsidRPr="00C257A1">
              <w:rPr>
                <w:rFonts w:ascii="Times New Roman" w:eastAsia="Times New Roman" w:hAnsi="Times New Roman" w:cs="Times New Roman"/>
                <w:sz w:val="24"/>
                <w:szCs w:val="24"/>
                <w:lang w:eastAsia="lv-LV"/>
              </w:rPr>
              <w:t xml:space="preserve">Valsts policija, </w:t>
            </w:r>
            <w:proofErr w:type="spellStart"/>
            <w:r w:rsidR="003B68EC" w:rsidRPr="00C257A1">
              <w:rPr>
                <w:rFonts w:ascii="Times New Roman" w:eastAsia="Times New Roman" w:hAnsi="Times New Roman" w:cs="Times New Roman"/>
                <w:sz w:val="24"/>
                <w:szCs w:val="24"/>
                <w:lang w:eastAsia="lv-LV"/>
              </w:rPr>
              <w:t>Iekšlietu</w:t>
            </w:r>
            <w:proofErr w:type="spellEnd"/>
            <w:r w:rsidR="003B68EC" w:rsidRPr="00C257A1">
              <w:rPr>
                <w:rFonts w:ascii="Times New Roman" w:eastAsia="Times New Roman" w:hAnsi="Times New Roman" w:cs="Times New Roman"/>
                <w:sz w:val="24"/>
                <w:szCs w:val="24"/>
                <w:lang w:eastAsia="lv-LV"/>
              </w:rPr>
              <w:t xml:space="preserve"> ministrija, Ģenerālprokuratūra, </w:t>
            </w:r>
            <w:r w:rsidR="00C257A1" w:rsidRPr="00C257A1">
              <w:rPr>
                <w:rFonts w:ascii="Times New Roman" w:eastAsia="Times New Roman" w:hAnsi="Times New Roman" w:cs="Times New Roman"/>
                <w:sz w:val="24"/>
                <w:szCs w:val="24"/>
                <w:lang w:eastAsia="lv-LV"/>
              </w:rPr>
              <w:t xml:space="preserve">Valsts ieņēmumu dienests, </w:t>
            </w:r>
            <w:r w:rsidR="00CE2B28" w:rsidRPr="00C257A1">
              <w:rPr>
                <w:rFonts w:ascii="Times New Roman" w:eastAsia="Times New Roman" w:hAnsi="Times New Roman" w:cs="Times New Roman"/>
                <w:sz w:val="24"/>
                <w:szCs w:val="24"/>
                <w:lang w:eastAsia="lv-LV"/>
              </w:rPr>
              <w:t xml:space="preserve">Uzņēmumu reģistrs, </w:t>
            </w:r>
            <w:r w:rsidRPr="00C257A1">
              <w:rPr>
                <w:rFonts w:ascii="Times New Roman" w:eastAsia="Times New Roman" w:hAnsi="Times New Roman" w:cs="Times New Roman"/>
                <w:sz w:val="24"/>
                <w:szCs w:val="24"/>
                <w:lang w:eastAsia="lv-LV"/>
              </w:rPr>
              <w:t>tiesas.</w:t>
            </w:r>
          </w:p>
          <w:p w14:paraId="1AEBB4A0" w14:textId="299AB3F5" w:rsidR="004E084B" w:rsidRPr="00706AC9" w:rsidRDefault="004E084B">
            <w:pPr>
              <w:spacing w:after="0" w:line="240" w:lineRule="auto"/>
              <w:jc w:val="both"/>
              <w:rPr>
                <w:rFonts w:ascii="Times New Roman" w:eastAsia="Times New Roman" w:hAnsi="Times New Roman" w:cs="Times New Roman"/>
                <w:sz w:val="24"/>
                <w:szCs w:val="24"/>
                <w:lang w:eastAsia="lv-LV"/>
              </w:rPr>
            </w:pPr>
          </w:p>
        </w:tc>
      </w:tr>
      <w:tr w:rsidR="00BC2633" w:rsidRPr="00706AC9"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706AC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706AC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7904BA3E" w:rsidR="004E084B" w:rsidRPr="00706AC9" w:rsidRDefault="004E084B">
            <w:pPr>
              <w:spacing w:after="0" w:line="240" w:lineRule="auto"/>
              <w:jc w:val="both"/>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Likumprojekta izpilde nerada ietekmi uz pārvaldes funkcijām un institucionālo struktūru. Nav nepieciešama jaunu institūciju izveide, esošu institūciju likvidācija vai reorgani</w:t>
            </w:r>
            <w:r w:rsidR="004B609C" w:rsidRPr="00706AC9">
              <w:rPr>
                <w:rFonts w:ascii="Times New Roman" w:eastAsia="Times New Roman" w:hAnsi="Times New Roman" w:cs="Times New Roman"/>
                <w:sz w:val="24"/>
                <w:szCs w:val="24"/>
                <w:lang w:eastAsia="lv-LV"/>
              </w:rPr>
              <w:t xml:space="preserve">zācija. </w:t>
            </w:r>
          </w:p>
        </w:tc>
      </w:tr>
      <w:tr w:rsidR="004D15A9" w:rsidRPr="00706AC9"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25BDFCCA" w:rsidR="004D15A9" w:rsidRPr="00706AC9" w:rsidRDefault="004D15A9" w:rsidP="00843976">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706AC9" w:rsidRDefault="004D15A9">
            <w:pPr>
              <w:spacing w:after="0" w:line="240" w:lineRule="auto"/>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4569CF50" w:rsidR="004D15A9" w:rsidRPr="00706AC9" w:rsidRDefault="004E084B">
            <w:pPr>
              <w:spacing w:after="0" w:line="240" w:lineRule="auto"/>
              <w:jc w:val="both"/>
              <w:rPr>
                <w:rFonts w:ascii="Times New Roman" w:eastAsia="Times New Roman" w:hAnsi="Times New Roman" w:cs="Times New Roman"/>
                <w:sz w:val="24"/>
                <w:szCs w:val="24"/>
                <w:lang w:eastAsia="lv-LV"/>
              </w:rPr>
            </w:pPr>
            <w:r w:rsidRPr="00706AC9">
              <w:rPr>
                <w:rFonts w:ascii="Times New Roman" w:eastAsia="Times New Roman" w:hAnsi="Times New Roman" w:cs="Times New Roman"/>
                <w:sz w:val="24"/>
                <w:szCs w:val="24"/>
                <w:lang w:eastAsia="lv-LV"/>
              </w:rPr>
              <w:t>Nav</w:t>
            </w:r>
            <w:r w:rsidR="00DD11A1">
              <w:rPr>
                <w:rFonts w:ascii="Times New Roman" w:eastAsia="Times New Roman" w:hAnsi="Times New Roman" w:cs="Times New Roman"/>
                <w:sz w:val="24"/>
                <w:szCs w:val="24"/>
                <w:lang w:eastAsia="lv-LV"/>
              </w:rPr>
              <w:t>.</w:t>
            </w:r>
          </w:p>
        </w:tc>
      </w:tr>
    </w:tbl>
    <w:p w14:paraId="10F26810" w14:textId="77777777" w:rsidR="00BB1F46" w:rsidRPr="00706AC9" w:rsidRDefault="00BB1F46" w:rsidP="00843976">
      <w:pPr>
        <w:spacing w:after="0" w:line="240" w:lineRule="auto"/>
        <w:rPr>
          <w:rFonts w:ascii="Times New Roman" w:hAnsi="Times New Roman" w:cs="Times New Roman"/>
          <w:sz w:val="24"/>
          <w:szCs w:val="24"/>
        </w:rPr>
      </w:pPr>
    </w:p>
    <w:p w14:paraId="3E8EDA78" w14:textId="77777777" w:rsidR="004D15A9" w:rsidRPr="00706AC9" w:rsidRDefault="004D15A9">
      <w:pPr>
        <w:spacing w:after="0" w:line="240" w:lineRule="auto"/>
        <w:rPr>
          <w:rFonts w:ascii="Times New Roman" w:hAnsi="Times New Roman" w:cs="Times New Roman"/>
          <w:sz w:val="24"/>
          <w:szCs w:val="24"/>
        </w:rPr>
      </w:pPr>
    </w:p>
    <w:p w14:paraId="09601154" w14:textId="77777777" w:rsidR="004D15A9" w:rsidRPr="00706AC9" w:rsidRDefault="004D15A9">
      <w:pPr>
        <w:pStyle w:val="StyleRight"/>
        <w:spacing w:after="0"/>
        <w:ind w:firstLine="0"/>
        <w:jc w:val="both"/>
        <w:rPr>
          <w:sz w:val="24"/>
          <w:szCs w:val="24"/>
        </w:rPr>
      </w:pPr>
      <w:r w:rsidRPr="00706AC9">
        <w:rPr>
          <w:sz w:val="24"/>
          <w:szCs w:val="24"/>
        </w:rPr>
        <w:t>Iesniedzējs:</w:t>
      </w:r>
    </w:p>
    <w:p w14:paraId="5EF7DF49" w14:textId="09D2C4C3" w:rsidR="00843976" w:rsidRDefault="00843976" w:rsidP="00843976">
      <w:pPr>
        <w:spacing w:after="0" w:line="240" w:lineRule="auto"/>
        <w:rPr>
          <w:rFonts w:ascii="Times New Roman" w:hAnsi="Times New Roman" w:cs="Times New Roman"/>
          <w:sz w:val="24"/>
          <w:szCs w:val="24"/>
        </w:rPr>
      </w:pPr>
      <w:r>
        <w:rPr>
          <w:rFonts w:ascii="Times New Roman" w:hAnsi="Times New Roman" w:cs="Times New Roman"/>
          <w:sz w:val="24"/>
          <w:szCs w:val="24"/>
        </w:rPr>
        <w:t>Ministru prezidenta biedrs,</w:t>
      </w:r>
    </w:p>
    <w:p w14:paraId="7100A182" w14:textId="75D33119" w:rsidR="00FE43B5" w:rsidRPr="00706AC9" w:rsidRDefault="00843976" w:rsidP="003E6303">
      <w:pPr>
        <w:spacing w:after="0" w:line="240" w:lineRule="auto"/>
        <w:rPr>
          <w:rFonts w:ascii="Times New Roman" w:hAnsi="Times New Roman" w:cs="Times New Roman"/>
          <w:iCs/>
          <w:sz w:val="24"/>
          <w:szCs w:val="24"/>
        </w:rPr>
      </w:pPr>
      <w:r>
        <w:rPr>
          <w:rFonts w:ascii="Times New Roman" w:hAnsi="Times New Roman" w:cs="Times New Roman"/>
          <w:sz w:val="24"/>
          <w:szCs w:val="24"/>
        </w:rPr>
        <w:t>tieslietu ministrs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B609C" w:rsidRPr="00706AC9">
        <w:rPr>
          <w:rFonts w:ascii="Times New Roman" w:hAnsi="Times New Roman" w:cs="Times New Roman"/>
          <w:sz w:val="24"/>
          <w:szCs w:val="24"/>
        </w:rPr>
        <w:tab/>
      </w:r>
      <w:r w:rsidR="00FE43B5" w:rsidRPr="00706AC9">
        <w:rPr>
          <w:rFonts w:ascii="Times New Roman" w:hAnsi="Times New Roman" w:cs="Times New Roman"/>
          <w:sz w:val="24"/>
          <w:szCs w:val="24"/>
        </w:rPr>
        <w:tab/>
      </w:r>
      <w:r w:rsidR="00FE43B5" w:rsidRPr="00706AC9">
        <w:rPr>
          <w:rFonts w:ascii="Times New Roman" w:hAnsi="Times New Roman" w:cs="Times New Roman"/>
          <w:sz w:val="24"/>
          <w:szCs w:val="24"/>
        </w:rPr>
        <w:tab/>
      </w:r>
      <w:r w:rsidR="004B609C" w:rsidRPr="00706AC9">
        <w:rPr>
          <w:rFonts w:ascii="Times New Roman" w:hAnsi="Times New Roman" w:cs="Times New Roman"/>
          <w:sz w:val="24"/>
          <w:szCs w:val="24"/>
        </w:rPr>
        <w:tab/>
      </w:r>
      <w:r>
        <w:rPr>
          <w:rFonts w:ascii="Times New Roman" w:hAnsi="Times New Roman" w:cs="Times New Roman"/>
          <w:bCs/>
          <w:iCs/>
          <w:sz w:val="24"/>
          <w:szCs w:val="24"/>
        </w:rPr>
        <w:t xml:space="preserve">Jānis </w:t>
      </w:r>
      <w:proofErr w:type="spellStart"/>
      <w:r>
        <w:rPr>
          <w:rFonts w:ascii="Times New Roman" w:hAnsi="Times New Roman" w:cs="Times New Roman"/>
          <w:bCs/>
          <w:iCs/>
          <w:sz w:val="24"/>
          <w:szCs w:val="24"/>
        </w:rPr>
        <w:t>Bordāns</w:t>
      </w:r>
      <w:proofErr w:type="spellEnd"/>
    </w:p>
    <w:p w14:paraId="2AD6EF98" w14:textId="1CA4954E" w:rsidR="004D15A9" w:rsidRPr="00706AC9" w:rsidRDefault="004D15A9" w:rsidP="00843976">
      <w:pPr>
        <w:pStyle w:val="StyleRight"/>
        <w:spacing w:after="0"/>
        <w:ind w:firstLine="0"/>
        <w:jc w:val="both"/>
        <w:rPr>
          <w:sz w:val="24"/>
          <w:szCs w:val="24"/>
        </w:rPr>
      </w:pPr>
    </w:p>
    <w:p w14:paraId="21E4DA6B" w14:textId="77777777" w:rsidR="003A2A0B" w:rsidRPr="00706AC9" w:rsidRDefault="003A2A0B">
      <w:pPr>
        <w:pStyle w:val="StyleRight"/>
        <w:spacing w:after="0"/>
        <w:ind w:firstLine="0"/>
        <w:jc w:val="both"/>
        <w:rPr>
          <w:sz w:val="22"/>
          <w:szCs w:val="22"/>
        </w:rPr>
      </w:pPr>
    </w:p>
    <w:p w14:paraId="639C0679" w14:textId="1456FA9D" w:rsidR="00BC2633" w:rsidRPr="00706AC9" w:rsidRDefault="003B68EC">
      <w:pPr>
        <w:spacing w:after="0" w:line="240" w:lineRule="auto"/>
        <w:rPr>
          <w:rFonts w:ascii="Times New Roman" w:hAnsi="Times New Roman" w:cs="Times New Roman"/>
        </w:rPr>
      </w:pPr>
      <w:r w:rsidRPr="00706AC9">
        <w:rPr>
          <w:rFonts w:ascii="Times New Roman" w:hAnsi="Times New Roman" w:cs="Times New Roman"/>
        </w:rPr>
        <w:t>Sviķe</w:t>
      </w:r>
      <w:r w:rsidR="00BC2633" w:rsidRPr="00706AC9">
        <w:rPr>
          <w:rFonts w:ascii="Times New Roman" w:hAnsi="Times New Roman" w:cs="Times New Roman"/>
        </w:rPr>
        <w:t xml:space="preserve"> </w:t>
      </w:r>
      <w:r w:rsidR="00FE43B5" w:rsidRPr="00706AC9">
        <w:rPr>
          <w:rFonts w:ascii="Times New Roman" w:hAnsi="Times New Roman" w:cs="Times New Roman"/>
        </w:rPr>
        <w:t>67036</w:t>
      </w:r>
      <w:r w:rsidRPr="00706AC9">
        <w:rPr>
          <w:rFonts w:ascii="Times New Roman" w:hAnsi="Times New Roman" w:cs="Times New Roman"/>
        </w:rPr>
        <w:t>924</w:t>
      </w:r>
    </w:p>
    <w:p w14:paraId="2572997B" w14:textId="6D67B48D" w:rsidR="00FE43B5" w:rsidRPr="00706AC9" w:rsidRDefault="003D67F6">
      <w:pPr>
        <w:spacing w:after="0" w:line="240" w:lineRule="auto"/>
        <w:jc w:val="both"/>
        <w:rPr>
          <w:rFonts w:ascii="Times New Roman" w:hAnsi="Times New Roman" w:cs="Times New Roman"/>
        </w:rPr>
      </w:pPr>
      <w:hyperlink r:id="rId8" w:history="1">
        <w:r w:rsidR="003B68EC" w:rsidRPr="00706AC9">
          <w:rPr>
            <w:rStyle w:val="Hipersaite"/>
            <w:rFonts w:ascii="Times New Roman" w:hAnsi="Times New Roman" w:cs="Times New Roman"/>
          </w:rPr>
          <w:t>Ilona-Sabine.Svike@tm.gov.lv</w:t>
        </w:r>
      </w:hyperlink>
    </w:p>
    <w:sectPr w:rsidR="00FE43B5" w:rsidRPr="00706AC9"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0DCC" w14:textId="77777777" w:rsidR="00E21897" w:rsidRDefault="00E21897" w:rsidP="004D15A9">
      <w:pPr>
        <w:spacing w:after="0" w:line="240" w:lineRule="auto"/>
      </w:pPr>
      <w:r>
        <w:separator/>
      </w:r>
    </w:p>
  </w:endnote>
  <w:endnote w:type="continuationSeparator" w:id="0">
    <w:p w14:paraId="517D8E15" w14:textId="77777777" w:rsidR="00E21897" w:rsidRDefault="00E2189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89F3" w14:textId="77777777" w:rsidR="0069511D" w:rsidRDefault="0069511D" w:rsidP="0042645D">
    <w:pPr>
      <w:pStyle w:val="Kjene"/>
      <w:rPr>
        <w:rFonts w:ascii="Times New Roman" w:hAnsi="Times New Roman" w:cs="Times New Roman"/>
        <w:sz w:val="20"/>
        <w:szCs w:val="20"/>
      </w:rPr>
    </w:pPr>
  </w:p>
  <w:p w14:paraId="6A190106" w14:textId="06200125" w:rsidR="0069511D" w:rsidRPr="00D25265" w:rsidRDefault="00313EA0" w:rsidP="00313EA0">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5125F6">
      <w:rPr>
        <w:rFonts w:ascii="Times New Roman" w:hAnsi="Times New Roman" w:cs="Times New Roman"/>
        <w:noProof/>
        <w:sz w:val="20"/>
        <w:szCs w:val="20"/>
      </w:rPr>
      <w:t>30</w:t>
    </w:r>
    <w:r w:rsidR="00C9653E">
      <w:rPr>
        <w:rFonts w:ascii="Times New Roman" w:hAnsi="Times New Roman" w:cs="Times New Roman"/>
        <w:noProof/>
        <w:sz w:val="20"/>
        <w:szCs w:val="20"/>
      </w:rPr>
      <w:t>07</w:t>
    </w:r>
    <w:r w:rsidR="00024BD8">
      <w:rPr>
        <w:rFonts w:ascii="Times New Roman" w:hAnsi="Times New Roman" w:cs="Times New Roman"/>
        <w:noProof/>
        <w:sz w:val="20"/>
        <w:szCs w:val="20"/>
      </w:rPr>
      <w:t>21</w:t>
    </w:r>
    <w:r>
      <w:rPr>
        <w:rFonts w:ascii="Times New Roman" w:hAnsi="Times New Roman" w:cs="Times New Roman"/>
        <w:noProof/>
        <w:sz w:val="20"/>
        <w:szCs w:val="20"/>
      </w:rPr>
      <w:t>_KPL_</w:t>
    </w:r>
    <w:r w:rsidR="00C9653E">
      <w:rPr>
        <w:rFonts w:ascii="Times New Roman" w:hAnsi="Times New Roman" w:cs="Times New Roman"/>
        <w:noProof/>
        <w:sz w:val="20"/>
        <w:szCs w:val="20"/>
      </w:rPr>
      <w:t>grozījumi</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F658" w14:textId="6495AE50" w:rsidR="0069511D" w:rsidRPr="00C9653E" w:rsidRDefault="00C9653E" w:rsidP="00C9653E">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5125F6">
      <w:rPr>
        <w:rFonts w:ascii="Times New Roman" w:hAnsi="Times New Roman" w:cs="Times New Roman"/>
        <w:noProof/>
        <w:sz w:val="20"/>
        <w:szCs w:val="20"/>
      </w:rPr>
      <w:t>30</w:t>
    </w:r>
    <w:r>
      <w:rPr>
        <w:rFonts w:ascii="Times New Roman" w:hAnsi="Times New Roman" w:cs="Times New Roman"/>
        <w:noProof/>
        <w:sz w:val="20"/>
        <w:szCs w:val="20"/>
      </w:rPr>
      <w:t>0721_KPL_grozījumi</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2D2D" w14:textId="77777777" w:rsidR="00E21897" w:rsidRDefault="00E21897" w:rsidP="004D15A9">
      <w:pPr>
        <w:spacing w:after="0" w:line="240" w:lineRule="auto"/>
      </w:pPr>
      <w:r>
        <w:separator/>
      </w:r>
    </w:p>
  </w:footnote>
  <w:footnote w:type="continuationSeparator" w:id="0">
    <w:p w14:paraId="4F7B6585" w14:textId="77777777" w:rsidR="00E21897" w:rsidRDefault="00E21897" w:rsidP="004D15A9">
      <w:pPr>
        <w:spacing w:after="0" w:line="240" w:lineRule="auto"/>
      </w:pPr>
      <w:r>
        <w:continuationSeparator/>
      </w:r>
    </w:p>
  </w:footnote>
  <w:footnote w:id="1">
    <w:p w14:paraId="490BA596"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Latvijas Kriminālprocesa kodekss. Pieejams: </w:t>
      </w:r>
      <w:hyperlink r:id="rId1" w:history="1">
        <w:r w:rsidRPr="00C9653E">
          <w:rPr>
            <w:rStyle w:val="Hipersaite"/>
            <w:sz w:val="18"/>
            <w:szCs w:val="18"/>
          </w:rPr>
          <w:t>https://likumi.lv/ta/id/90971-latvijas-kriminalprocesa-kodekss</w:t>
        </w:r>
      </w:hyperlink>
    </w:p>
  </w:footnote>
  <w:footnote w:id="2">
    <w:p w14:paraId="5EDC531E"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Satversmes tiesas 2018.gada 14.jūnija spriedums lietā Nr.2017-23-01, 12.2.punkts. </w:t>
      </w:r>
    </w:p>
  </w:footnote>
  <w:footnote w:id="3">
    <w:p w14:paraId="456D87C1"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Satversmes tiesas 2018.gada 14.jūnija spriedums lietā Nr.2017-23-01, 12.2.punkts.</w:t>
      </w:r>
    </w:p>
  </w:footnote>
  <w:footnote w:id="4">
    <w:p w14:paraId="15FDD97F"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Turpat, 14.2.punkts. </w:t>
      </w:r>
    </w:p>
  </w:footnote>
  <w:footnote w:id="5">
    <w:p w14:paraId="468DA392"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Satversmes tiesas 2020.gada 12.marta spriedums lietā Nr.2019-11-01, 10. un 14.punkts. </w:t>
      </w:r>
    </w:p>
  </w:footnote>
  <w:footnote w:id="6">
    <w:p w14:paraId="42C8E7FD"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Satversmes tiesas 2018.gada 14.jūnija spriedums lietā Nr.2017-23-01, 12.2.punkts.</w:t>
      </w:r>
    </w:p>
  </w:footnote>
  <w:footnote w:id="7">
    <w:p w14:paraId="3078A77B"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Satversmes tiesas 2003.gada 27.jūnija spriedums lietā Nr.2003-04-01 secinājumu daļas 2.1.punkts.</w:t>
      </w:r>
    </w:p>
  </w:footnote>
  <w:footnote w:id="8">
    <w:p w14:paraId="1FBDF9F8"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Satversmes tiesas 2008.gada 2.jūnija spriedums lietā Nr.2007-22-01 18.2.punkts.</w:t>
      </w:r>
    </w:p>
  </w:footnote>
  <w:footnote w:id="9">
    <w:p w14:paraId="562B623A"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Satversmes tiesas 2018.gada 14.jūnija spriedums lietā Nr.2017-23-01, 12.2.punkts.</w:t>
      </w:r>
    </w:p>
  </w:footnote>
  <w:footnote w:id="10">
    <w:p w14:paraId="596441AE"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Sal. Satversmes tiesas 2013.gada 21.oktobra spriedums lietā Nr.2013-02-01, 10.1.punkts; Satversmes tiesas 2018.gada 14.jūnija spriedums lietā Nr.2017-23-01, 12.2.punkts.</w:t>
      </w:r>
    </w:p>
  </w:footnote>
  <w:footnote w:id="11">
    <w:p w14:paraId="76389EA7"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Satversmes tiesas 2020.gada 26.marta spriedums lietā Nr.2019-15-01, 11.1.punkts. </w:t>
      </w:r>
    </w:p>
  </w:footnote>
  <w:footnote w:id="12">
    <w:p w14:paraId="752B62D4"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Satversmes tiesas 2018.gada 15.marta spriedums lietā Nr.2017-16-01, 16.1.1.punkts. </w:t>
      </w:r>
    </w:p>
  </w:footnote>
  <w:footnote w:id="13">
    <w:p w14:paraId="1C7B4A17"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Sal. Augstākās tiesas 2006.gada 17.janvāra lēmums lietā Nr. SKK-8/2006.</w:t>
      </w:r>
    </w:p>
  </w:footnote>
  <w:footnote w:id="14">
    <w:p w14:paraId="40D61D90"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Krūmiņa V. Ievads Latvijas Republikas Satversmes VI nodaļas komentāram: tiesu varas evolūcija Latvijā. </w:t>
      </w:r>
      <w:proofErr w:type="spellStart"/>
      <w:r w:rsidRPr="00C9653E">
        <w:rPr>
          <w:sz w:val="18"/>
          <w:szCs w:val="18"/>
        </w:rPr>
        <w:t>Grām</w:t>
      </w:r>
      <w:proofErr w:type="spellEnd"/>
      <w:r w:rsidRPr="00C9653E">
        <w:rPr>
          <w:sz w:val="18"/>
          <w:szCs w:val="18"/>
        </w:rPr>
        <w:t>.: Latvijas Republikas Satversmes komentāri. VI nodaļa. Tiesa. Rīga: Latvijas Vēstnesis, 2013, 11.lpp.</w:t>
      </w:r>
    </w:p>
  </w:footnote>
  <w:footnote w:id="15">
    <w:p w14:paraId="7138E28B"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w:t>
      </w:r>
      <w:proofErr w:type="spellStart"/>
      <w:r w:rsidRPr="00C9653E">
        <w:rPr>
          <w:sz w:val="18"/>
          <w:szCs w:val="18"/>
        </w:rPr>
        <w:t>Indrūna</w:t>
      </w:r>
      <w:proofErr w:type="spellEnd"/>
      <w:r w:rsidRPr="00C9653E">
        <w:rPr>
          <w:sz w:val="18"/>
          <w:szCs w:val="18"/>
        </w:rPr>
        <w:t xml:space="preserve"> Z. Senatoru atsevišķās domas </w:t>
      </w:r>
      <w:proofErr w:type="spellStart"/>
      <w:r w:rsidRPr="00C9653E">
        <w:rPr>
          <w:sz w:val="18"/>
          <w:szCs w:val="18"/>
        </w:rPr>
        <w:t>starpkaru</w:t>
      </w:r>
      <w:proofErr w:type="spellEnd"/>
      <w:r w:rsidRPr="00C9653E">
        <w:rPr>
          <w:sz w:val="18"/>
          <w:szCs w:val="18"/>
        </w:rPr>
        <w:t xml:space="preserve"> Latvijas Senātā. Latvijas Republikas Augstākās tiesas Biļetens Nr.14/2017, 40.lpp.</w:t>
      </w:r>
    </w:p>
  </w:footnote>
  <w:footnote w:id="16">
    <w:p w14:paraId="2E57E868"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Priekšsēdētājs senators M. Dudelis, senatori O. </w:t>
      </w:r>
      <w:proofErr w:type="spellStart"/>
      <w:r w:rsidRPr="00C9653E">
        <w:rPr>
          <w:sz w:val="18"/>
          <w:szCs w:val="18"/>
        </w:rPr>
        <w:t>Druks</w:t>
      </w:r>
      <w:proofErr w:type="spellEnd"/>
      <w:r w:rsidRPr="00C9653E">
        <w:rPr>
          <w:sz w:val="18"/>
          <w:szCs w:val="18"/>
        </w:rPr>
        <w:t>-Jaunzemis, Z. </w:t>
      </w:r>
      <w:proofErr w:type="spellStart"/>
      <w:r w:rsidRPr="00C9653E">
        <w:rPr>
          <w:sz w:val="18"/>
          <w:szCs w:val="18"/>
        </w:rPr>
        <w:t>Gencs</w:t>
      </w:r>
      <w:proofErr w:type="spellEnd"/>
      <w:r w:rsidRPr="00C9653E">
        <w:rPr>
          <w:sz w:val="18"/>
          <w:szCs w:val="18"/>
        </w:rPr>
        <w:t>, R. Namatēvs, R. Saulīte, I. </w:t>
      </w:r>
      <w:proofErr w:type="spellStart"/>
      <w:r w:rsidRPr="00C9653E">
        <w:rPr>
          <w:sz w:val="18"/>
          <w:szCs w:val="18"/>
        </w:rPr>
        <w:t>Šepteris</w:t>
      </w:r>
      <w:proofErr w:type="spellEnd"/>
      <w:r w:rsidRPr="00C9653E">
        <w:rPr>
          <w:sz w:val="18"/>
          <w:szCs w:val="18"/>
        </w:rPr>
        <w:t>, M. Zāģere; atsevišķās domas iesniedza senatori O. </w:t>
      </w:r>
      <w:proofErr w:type="spellStart"/>
      <w:r w:rsidRPr="00C9653E">
        <w:rPr>
          <w:sz w:val="18"/>
          <w:szCs w:val="18"/>
        </w:rPr>
        <w:t>Druks</w:t>
      </w:r>
      <w:proofErr w:type="spellEnd"/>
      <w:r w:rsidRPr="00C9653E">
        <w:rPr>
          <w:sz w:val="18"/>
          <w:szCs w:val="18"/>
        </w:rPr>
        <w:t>-Jaunzemis un R. Namatēvs.</w:t>
      </w:r>
    </w:p>
  </w:footnote>
  <w:footnote w:id="17">
    <w:p w14:paraId="7D7BA5A2"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w:t>
      </w:r>
      <w:proofErr w:type="spellStart"/>
      <w:r w:rsidRPr="00C9653E">
        <w:rPr>
          <w:sz w:val="18"/>
          <w:szCs w:val="18"/>
        </w:rPr>
        <w:t>Indrūna</w:t>
      </w:r>
      <w:proofErr w:type="spellEnd"/>
      <w:r w:rsidRPr="00C9653E">
        <w:rPr>
          <w:sz w:val="18"/>
          <w:szCs w:val="18"/>
        </w:rPr>
        <w:t xml:space="preserve"> Z. Tiesnešu atsevišķās domas kasācijas instances civillietu nolēmumos (2006-2017). Latvijas Republikas Augstākās tiesas Biļetens Nr.16/2018, 140.lpp.</w:t>
      </w:r>
    </w:p>
  </w:footnote>
  <w:footnote w:id="18">
    <w:p w14:paraId="0B8E3F7A"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Saeimas Juridiskās komisijas sagatavotā “Grozījumi Satversmes tiesas likumā” anotācija. Pieejama: </w:t>
      </w:r>
      <w:hyperlink r:id="rId2" w:history="1">
        <w:r w:rsidRPr="00C9653E">
          <w:rPr>
            <w:rStyle w:val="Hipersaite"/>
            <w:sz w:val="18"/>
            <w:szCs w:val="18"/>
          </w:rPr>
          <w:t>http://titania.saeima.lv/LIVS/SaeimaLIVS.nsf/0/3A28E1852864ABF5C225763B0033C63A?OpenDocument</w:t>
        </w:r>
      </w:hyperlink>
      <w:r w:rsidRPr="00C9653E">
        <w:rPr>
          <w:sz w:val="18"/>
          <w:szCs w:val="18"/>
        </w:rPr>
        <w:t xml:space="preserve"> </w:t>
      </w:r>
    </w:p>
  </w:footnote>
  <w:footnote w:id="19">
    <w:p w14:paraId="6B25D61A"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Satversmes tiesas 2020.gada 16.jūlija spriedums lietā Nr.2019-23-01, 10.punkts. </w:t>
      </w:r>
    </w:p>
  </w:footnote>
  <w:footnote w:id="20">
    <w:p w14:paraId="259398C9"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Eiropas Parlamenta Iekšpolitikas ģenerāldirektorāta Pilsoņu tiesību un konstitucionālo jautājumu politikas C departamenta pētījums “Atsevišķās domas dalībvalstu Augstākajās tiesās” 2012, 10.lpp. Pieejams: </w:t>
      </w:r>
      <w:hyperlink r:id="rId3" w:history="1">
        <w:r w:rsidRPr="00C9653E">
          <w:rPr>
            <w:rStyle w:val="Hipersaite"/>
            <w:sz w:val="18"/>
            <w:szCs w:val="18"/>
          </w:rPr>
          <w:t>https://www.europarl.europa.eu/RegData/etudes/etudes/join/2012/462470/IPOL-JURI_ET(2012)462470_EN.pdf</w:t>
        </w:r>
      </w:hyperlink>
      <w:r w:rsidRPr="00C9653E">
        <w:rPr>
          <w:rStyle w:val="Hipersaite"/>
          <w:sz w:val="18"/>
          <w:szCs w:val="18"/>
        </w:rPr>
        <w:t xml:space="preserve"> </w:t>
      </w:r>
    </w:p>
  </w:footnote>
  <w:footnote w:id="21">
    <w:p w14:paraId="2A591BE1"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Turpat.</w:t>
      </w:r>
    </w:p>
  </w:footnote>
  <w:footnote w:id="22">
    <w:p w14:paraId="378F5DCE"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w:t>
      </w:r>
      <w:proofErr w:type="spellStart"/>
      <w:r w:rsidRPr="00C9653E">
        <w:rPr>
          <w:sz w:val="18"/>
          <w:szCs w:val="18"/>
        </w:rPr>
        <w:t>Šulmane</w:t>
      </w:r>
      <w:proofErr w:type="spellEnd"/>
      <w:r w:rsidRPr="00C9653E">
        <w:rPr>
          <w:sz w:val="18"/>
          <w:szCs w:val="18"/>
        </w:rPr>
        <w:t xml:space="preserve"> D. Tiesnešu atsevišķās domas praksē. Jurista Vārds, 12.07.2016, Nr.28 (931)</w:t>
      </w:r>
    </w:p>
  </w:footnote>
  <w:footnote w:id="23">
    <w:p w14:paraId="120E843A"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Apse D. Tiesnešu atsevišķās domas. Salīdzinošie un personības nozīmes aspekti. Juridiskā zinātne, Nr.8, 2015 </w:t>
      </w:r>
    </w:p>
  </w:footnote>
  <w:footnote w:id="24">
    <w:p w14:paraId="51F3571F"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w:t>
      </w:r>
      <w:proofErr w:type="spellStart"/>
      <w:r w:rsidRPr="00C9653E">
        <w:rPr>
          <w:sz w:val="18"/>
          <w:szCs w:val="18"/>
          <w:lang w:val="en-US"/>
        </w:rPr>
        <w:t>Laffranque</w:t>
      </w:r>
      <w:proofErr w:type="spellEnd"/>
      <w:r w:rsidRPr="00C9653E">
        <w:rPr>
          <w:sz w:val="18"/>
          <w:szCs w:val="18"/>
          <w:lang w:val="en-US"/>
        </w:rPr>
        <w:t xml:space="preserve"> J. Dissenting Opinion in the European Court of Justice-Estonia`s Possible Contribution to the </w:t>
      </w:r>
      <w:proofErr w:type="spellStart"/>
      <w:r w:rsidRPr="00C9653E">
        <w:rPr>
          <w:sz w:val="18"/>
          <w:szCs w:val="18"/>
          <w:lang w:val="en-US"/>
        </w:rPr>
        <w:t>Democratisation</w:t>
      </w:r>
      <w:proofErr w:type="spellEnd"/>
      <w:r w:rsidRPr="00C9653E">
        <w:rPr>
          <w:sz w:val="18"/>
          <w:szCs w:val="18"/>
          <w:lang w:val="en-US"/>
        </w:rPr>
        <w:t xml:space="preserve"> of the European Union Judicial System. </w:t>
      </w:r>
      <w:proofErr w:type="spellStart"/>
      <w:r w:rsidRPr="00C9653E">
        <w:rPr>
          <w:sz w:val="18"/>
          <w:szCs w:val="18"/>
          <w:lang w:val="en-US"/>
        </w:rPr>
        <w:t>Juridica</w:t>
      </w:r>
      <w:proofErr w:type="spellEnd"/>
      <w:r w:rsidRPr="00C9653E">
        <w:rPr>
          <w:sz w:val="18"/>
          <w:szCs w:val="18"/>
          <w:lang w:val="en-US"/>
        </w:rPr>
        <w:t xml:space="preserve"> </w:t>
      </w:r>
      <w:proofErr w:type="spellStart"/>
      <w:r w:rsidRPr="00C9653E">
        <w:rPr>
          <w:sz w:val="18"/>
          <w:szCs w:val="18"/>
          <w:lang w:val="en-US"/>
        </w:rPr>
        <w:t>Internatuional</w:t>
      </w:r>
      <w:proofErr w:type="spellEnd"/>
      <w:r w:rsidRPr="00C9653E">
        <w:rPr>
          <w:sz w:val="18"/>
          <w:szCs w:val="18"/>
          <w:lang w:val="en-US"/>
        </w:rPr>
        <w:t xml:space="preserve"> IX/2004.</w:t>
      </w:r>
    </w:p>
  </w:footnote>
  <w:footnote w:id="25">
    <w:p w14:paraId="7F6226FC"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Eiropas Parlamenta Iekšpolitikas ģenerāldirektorāta Pilsoņu tiesību un konstitucionālo jautājumu politikas C departamenta pētījums “Atsevišķās domas dalībvalstu Augstākajās tiesās”, 2012, 12.lpp.</w:t>
      </w:r>
    </w:p>
  </w:footnote>
  <w:footnote w:id="26">
    <w:p w14:paraId="737E92DF"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Turpat, 9.lpp.</w:t>
      </w:r>
    </w:p>
  </w:footnote>
  <w:footnote w:id="27">
    <w:p w14:paraId="59D562A1"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Turpat, 13.lpp.</w:t>
      </w:r>
    </w:p>
  </w:footnote>
  <w:footnote w:id="28">
    <w:p w14:paraId="6A35B0CC" w14:textId="77777777" w:rsidR="00C9653E" w:rsidRPr="00C9653E" w:rsidRDefault="00C9653E" w:rsidP="00C9653E">
      <w:pPr>
        <w:pStyle w:val="Vresteksts"/>
        <w:spacing w:line="276" w:lineRule="auto"/>
        <w:jc w:val="both"/>
        <w:rPr>
          <w:sz w:val="18"/>
          <w:szCs w:val="18"/>
          <w:lang w:val="en-US"/>
        </w:rPr>
      </w:pPr>
      <w:r w:rsidRPr="00C9653E">
        <w:rPr>
          <w:rStyle w:val="Vresatsauce"/>
          <w:sz w:val="18"/>
          <w:szCs w:val="18"/>
        </w:rPr>
        <w:footnoteRef/>
      </w:r>
      <w:r w:rsidRPr="00C9653E">
        <w:rPr>
          <w:sz w:val="18"/>
          <w:szCs w:val="18"/>
        </w:rPr>
        <w:t xml:space="preserve"> Turpat, 14.lpp. </w:t>
      </w:r>
    </w:p>
  </w:footnote>
  <w:footnote w:id="29">
    <w:p w14:paraId="28CC7B0C"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Eiropas Parlamenta Iekšpolitikas ģenerāldirektorāta Pilsoņu tiesību un konstitucionālo jautājumu politikas C departamenta pētījums “Atsevišķās domas dalībvalstu Augstākajās tiesās”, 2012, 15., 16.lpp.</w:t>
      </w:r>
    </w:p>
  </w:footnote>
  <w:footnote w:id="30">
    <w:p w14:paraId="47993547"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w:t>
      </w:r>
      <w:r w:rsidRPr="00C9653E">
        <w:rPr>
          <w:color w:val="101820"/>
          <w:sz w:val="18"/>
          <w:szCs w:val="18"/>
          <w:lang w:eastAsia="lv-LV"/>
        </w:rPr>
        <w:t>Likuma trešais teikums tika izteikts šādā redakcijā: “Pilsonības un migrācijas lietu pārvaldes priekšnieka lēmumu var pārsūdzēt administratīvajā rajona tiesā Administratīvā procesa likumā noteiktajā kārtībā.”</w:t>
      </w:r>
    </w:p>
  </w:footnote>
  <w:footnote w:id="31">
    <w:p w14:paraId="5B9DCE4A" w14:textId="77777777" w:rsidR="00C9653E" w:rsidRPr="00C9653E" w:rsidRDefault="00C9653E" w:rsidP="00C9653E">
      <w:pPr>
        <w:pStyle w:val="Vresteksts"/>
        <w:spacing w:line="276" w:lineRule="auto"/>
        <w:jc w:val="both"/>
        <w:rPr>
          <w:sz w:val="18"/>
          <w:szCs w:val="18"/>
        </w:rPr>
      </w:pPr>
      <w:r w:rsidRPr="00C9653E">
        <w:rPr>
          <w:rStyle w:val="Vresatsauce"/>
          <w:sz w:val="18"/>
          <w:szCs w:val="18"/>
        </w:rPr>
        <w:footnoteRef/>
      </w:r>
      <w:r w:rsidRPr="00C9653E">
        <w:rPr>
          <w:sz w:val="18"/>
          <w:szCs w:val="18"/>
        </w:rPr>
        <w:t xml:space="preserve"> </w:t>
      </w:r>
      <w:proofErr w:type="spellStart"/>
      <w:r w:rsidRPr="00C9653E">
        <w:rPr>
          <w:sz w:val="18"/>
          <w:szCs w:val="18"/>
        </w:rPr>
        <w:t>Indrūna</w:t>
      </w:r>
      <w:proofErr w:type="spellEnd"/>
      <w:r w:rsidRPr="00C9653E">
        <w:rPr>
          <w:sz w:val="18"/>
          <w:szCs w:val="18"/>
        </w:rPr>
        <w:t xml:space="preserve"> Z. Tiesnešu atsevišķās domas kasācijas instances civillietu nolēmumos. Latvijas Republikas Augstākās tiesas Biļetens, Nr.16/2018, 140.lpp.</w:t>
      </w:r>
    </w:p>
  </w:footnote>
  <w:footnote w:id="32">
    <w:p w14:paraId="71AD0FF3" w14:textId="77777777" w:rsidR="00C9653E" w:rsidRDefault="00C9653E" w:rsidP="00C9653E">
      <w:pPr>
        <w:pStyle w:val="Vresteksts"/>
        <w:spacing w:line="276" w:lineRule="auto"/>
        <w:jc w:val="both"/>
      </w:pPr>
      <w:r>
        <w:rPr>
          <w:rStyle w:val="Vresatsauce"/>
        </w:rPr>
        <w:footnoteRef/>
      </w:r>
      <w:r>
        <w:t xml:space="preserve"> </w:t>
      </w:r>
      <w:r w:rsidRPr="001E54E5">
        <w:t xml:space="preserve">sk. Latvijas Republikas Tieslietu ministrijas 2013.gada 28.oktobra priekšlikums “Grozījumi Kriminālprocesa </w:t>
      </w:r>
      <w:r>
        <w:t>likumā” (Nr. 745/Lp11), 6.lpp.</w:t>
      </w:r>
    </w:p>
  </w:footnote>
  <w:footnote w:id="33">
    <w:p w14:paraId="1749DED5" w14:textId="77777777" w:rsidR="00C9653E" w:rsidRDefault="00C9653E" w:rsidP="00C9653E">
      <w:pPr>
        <w:pStyle w:val="Vresteksts"/>
        <w:spacing w:line="276" w:lineRule="auto"/>
        <w:jc w:val="both"/>
      </w:pPr>
      <w:r>
        <w:rPr>
          <w:rStyle w:val="Vresatsauce"/>
        </w:rPr>
        <w:footnoteRef/>
      </w:r>
      <w:r>
        <w:t xml:space="preserve"> Satversmes tiesas 2018.gada 14.jūnija spriedums lietā Nr. </w:t>
      </w:r>
      <w:r w:rsidRPr="00324F1D">
        <w:t>2017-23-01</w:t>
      </w:r>
      <w:r>
        <w:t>, 12.2.punkts.</w:t>
      </w:r>
    </w:p>
  </w:footnote>
  <w:footnote w:id="34">
    <w:p w14:paraId="07F6471B" w14:textId="77777777" w:rsidR="00C9653E" w:rsidRDefault="00C9653E" w:rsidP="00C9653E">
      <w:pPr>
        <w:pStyle w:val="Vresteksts"/>
        <w:spacing w:line="276" w:lineRule="auto"/>
        <w:jc w:val="both"/>
      </w:pPr>
      <w:r>
        <w:rPr>
          <w:rStyle w:val="Vresatsauce"/>
        </w:rPr>
        <w:footnoteRef/>
      </w:r>
      <w:r>
        <w:t xml:space="preserve"> Satversmes tiesas 2003.gada 27.</w:t>
      </w:r>
      <w:r w:rsidRPr="00BA7475">
        <w:t>jūnija spriedum</w:t>
      </w:r>
      <w:r>
        <w:t>s lietā Nr. </w:t>
      </w:r>
      <w:r w:rsidRPr="00BA7475">
        <w:t>2003-04-01</w:t>
      </w:r>
      <w:r>
        <w:t>, secinājumu daļas 2.1.punkts.</w:t>
      </w:r>
    </w:p>
  </w:footnote>
  <w:footnote w:id="35">
    <w:p w14:paraId="0E12935B" w14:textId="77777777" w:rsidR="00C9653E" w:rsidRDefault="00C9653E" w:rsidP="00C9653E">
      <w:pPr>
        <w:pStyle w:val="Vresteksts"/>
        <w:spacing w:line="276" w:lineRule="auto"/>
        <w:jc w:val="both"/>
      </w:pPr>
      <w:r>
        <w:rPr>
          <w:rStyle w:val="Vresatsauce"/>
        </w:rPr>
        <w:footnoteRef/>
      </w:r>
      <w:r>
        <w:t xml:space="preserve"> Satversmes tiesas 2018.gada 14.jūnija spriedums lietā Nr. </w:t>
      </w:r>
      <w:r w:rsidRPr="00324F1D">
        <w:t>2017-23-01</w:t>
      </w:r>
      <w:r>
        <w:t xml:space="preserve">, 14.2.punkts. </w:t>
      </w:r>
    </w:p>
  </w:footnote>
  <w:footnote w:id="36">
    <w:p w14:paraId="79ABB48A" w14:textId="77777777" w:rsidR="00C9653E" w:rsidRDefault="00C9653E" w:rsidP="00C9653E">
      <w:pPr>
        <w:pStyle w:val="Vresteksts"/>
        <w:spacing w:line="276" w:lineRule="auto"/>
        <w:jc w:val="both"/>
      </w:pPr>
      <w:r>
        <w:rPr>
          <w:rStyle w:val="Vresatsauce"/>
        </w:rPr>
        <w:footnoteRef/>
      </w:r>
      <w:r>
        <w:t xml:space="preserve"> Satversmes tiesas 2020.gada 12.marta spriedums lietā Nr. 2019-11-01, 10. un 14.punkts. </w:t>
      </w:r>
    </w:p>
  </w:footnote>
  <w:footnote w:id="37">
    <w:p w14:paraId="4B3A11F6" w14:textId="77777777" w:rsidR="00C9653E" w:rsidRDefault="00C9653E" w:rsidP="00C9653E">
      <w:pPr>
        <w:pStyle w:val="Vresteksts"/>
        <w:spacing w:line="276" w:lineRule="auto"/>
        <w:jc w:val="both"/>
      </w:pPr>
      <w:r>
        <w:rPr>
          <w:rStyle w:val="Vresatsauce"/>
        </w:rPr>
        <w:footnoteRef/>
      </w:r>
      <w:r>
        <w:t xml:space="preserve"> Satversmes tiesas 2018.gada 14.jūnija spriedums lietā Nr. </w:t>
      </w:r>
      <w:r w:rsidRPr="00324F1D">
        <w:t>2017-23-01</w:t>
      </w:r>
      <w:r>
        <w:t>, 12.2.punkts.</w:t>
      </w:r>
    </w:p>
  </w:footnote>
  <w:footnote w:id="38">
    <w:p w14:paraId="0DCFDFB7" w14:textId="77777777" w:rsidR="00C9653E" w:rsidRDefault="00C9653E" w:rsidP="00C9653E">
      <w:pPr>
        <w:pStyle w:val="Vresteksts"/>
        <w:spacing w:line="276" w:lineRule="auto"/>
        <w:jc w:val="both"/>
      </w:pPr>
      <w:r>
        <w:rPr>
          <w:rStyle w:val="Vresatsauce"/>
        </w:rPr>
        <w:footnoteRef/>
      </w:r>
      <w:r>
        <w:t xml:space="preserve"> Satversmes tiesas 2008.gada 2.</w:t>
      </w:r>
      <w:r w:rsidRPr="00BA7475">
        <w:t>jūnija sprieduma l</w:t>
      </w:r>
      <w:r>
        <w:t>ietā Nr. 2007-22-01, 18.2. punkts.</w:t>
      </w:r>
    </w:p>
  </w:footnote>
  <w:footnote w:id="39">
    <w:p w14:paraId="7AC61EAF" w14:textId="77777777" w:rsidR="00C9653E" w:rsidRDefault="00C9653E" w:rsidP="00C9653E">
      <w:pPr>
        <w:pStyle w:val="Vresteksts"/>
        <w:spacing w:line="276" w:lineRule="auto"/>
        <w:jc w:val="both"/>
      </w:pPr>
      <w:r>
        <w:rPr>
          <w:rStyle w:val="Vresatsauce"/>
        </w:rPr>
        <w:footnoteRef/>
      </w:r>
      <w:r>
        <w:t xml:space="preserve"> Satversmes tiesas 2018.gada 14.jūnija spriedums lietā Nr. </w:t>
      </w:r>
      <w:r w:rsidRPr="00324F1D">
        <w:t>2017-23-01</w:t>
      </w:r>
      <w:r>
        <w:t>, 12.2.punkts.</w:t>
      </w:r>
    </w:p>
  </w:footnote>
  <w:footnote w:id="40">
    <w:p w14:paraId="1D940A0D" w14:textId="77777777" w:rsidR="00C9653E" w:rsidRDefault="00C9653E" w:rsidP="00C9653E">
      <w:pPr>
        <w:pStyle w:val="Vresteksts"/>
        <w:spacing w:line="276" w:lineRule="auto"/>
        <w:jc w:val="both"/>
      </w:pPr>
      <w:r>
        <w:rPr>
          <w:rStyle w:val="Vresatsauce"/>
        </w:rPr>
        <w:footnoteRef/>
      </w:r>
      <w:r>
        <w:t xml:space="preserve"> Satversmes tiesas 2012.gada 6.jūbija spriedums lietā Nr. 2011-21-01, 12.punkts.</w:t>
      </w:r>
    </w:p>
  </w:footnote>
  <w:footnote w:id="41">
    <w:p w14:paraId="53524C8B" w14:textId="77777777" w:rsidR="00C9653E" w:rsidRDefault="00C9653E" w:rsidP="00C9653E">
      <w:pPr>
        <w:pStyle w:val="Vresteksts"/>
        <w:spacing w:line="276" w:lineRule="auto"/>
        <w:jc w:val="both"/>
      </w:pPr>
      <w:r>
        <w:rPr>
          <w:rStyle w:val="Vresatsauce"/>
        </w:rPr>
        <w:footnoteRef/>
      </w:r>
      <w:r>
        <w:t xml:space="preserve"> Sal. Satversmes tiesas 2013.gada 21.oktobra spriedums lietā Nr. 2013-02-01, 10.1.punkts.; Satversmes tiesas 2018.gada 14.jūnija spriedums lietā Nr. </w:t>
      </w:r>
      <w:r w:rsidRPr="00324F1D">
        <w:t>2017-23-01</w:t>
      </w:r>
      <w:r>
        <w:t>, 12.2.punkts.</w:t>
      </w:r>
    </w:p>
  </w:footnote>
  <w:footnote w:id="42">
    <w:p w14:paraId="174F56B3" w14:textId="77777777" w:rsidR="00C9653E" w:rsidRDefault="00C9653E" w:rsidP="00C9653E">
      <w:pPr>
        <w:pStyle w:val="Vresteksts"/>
        <w:spacing w:line="276" w:lineRule="auto"/>
        <w:jc w:val="both"/>
      </w:pPr>
      <w:r>
        <w:rPr>
          <w:rStyle w:val="Vresatsauce"/>
        </w:rPr>
        <w:footnoteRef/>
      </w:r>
      <w:r>
        <w:t xml:space="preserve"> Satversmes tiesas 2014.gada 10.jūnija spriedums lietā Nr. 2013-18-01, 15.punkts.</w:t>
      </w:r>
    </w:p>
  </w:footnote>
  <w:footnote w:id="43">
    <w:p w14:paraId="59BDE193" w14:textId="77777777" w:rsidR="00C9653E" w:rsidRDefault="00C9653E" w:rsidP="00C9653E">
      <w:pPr>
        <w:pStyle w:val="Vresteksts"/>
        <w:spacing w:line="276" w:lineRule="auto"/>
        <w:jc w:val="both"/>
      </w:pPr>
      <w:r>
        <w:rPr>
          <w:rStyle w:val="Vresatsauce"/>
        </w:rPr>
        <w:footnoteRef/>
      </w:r>
      <w:r>
        <w:t xml:space="preserve"> Satversmes tiesas 2003.gada 27.jūnija spriedums lietā Nr. 2003-03-01, secinājumu daļas 5.punkts; kā arī Satversmes tiesas 2018.gada 14.jūnija spriedums lietā Nr. </w:t>
      </w:r>
      <w:r w:rsidRPr="00324F1D">
        <w:t>2017-23-01</w:t>
      </w:r>
      <w:r>
        <w:t>, 12.1.punkts.</w:t>
      </w:r>
    </w:p>
  </w:footnote>
  <w:footnote w:id="44">
    <w:p w14:paraId="6483A85B" w14:textId="77777777" w:rsidR="00C9653E" w:rsidRDefault="00C9653E" w:rsidP="00C9653E">
      <w:pPr>
        <w:pStyle w:val="Vresteksts"/>
        <w:spacing w:line="276" w:lineRule="auto"/>
        <w:jc w:val="both"/>
      </w:pPr>
      <w:r>
        <w:rPr>
          <w:rStyle w:val="Vresatsauce"/>
        </w:rPr>
        <w:footnoteRef/>
      </w:r>
      <w:r>
        <w:t xml:space="preserve"> Satversmes tiesas 2002.gada 5.marta spriedums lietā Nr. 2001-10-01, secinājumu daļas 3.punkts. </w:t>
      </w:r>
    </w:p>
  </w:footnote>
  <w:footnote w:id="45">
    <w:p w14:paraId="29DE90BD" w14:textId="77777777" w:rsidR="00C9653E" w:rsidRDefault="00C9653E" w:rsidP="00C9653E">
      <w:pPr>
        <w:pStyle w:val="Vresteksts"/>
        <w:spacing w:line="276" w:lineRule="auto"/>
        <w:jc w:val="both"/>
      </w:pPr>
      <w:r>
        <w:rPr>
          <w:rStyle w:val="Vresatsauce"/>
        </w:rPr>
        <w:footnoteRef/>
      </w:r>
      <w:r>
        <w:t xml:space="preserve"> Sal. Satversmes tiesas 2004.gada 11.oktobra spriedums lietā Nr. 2004-06-01, 17. un 20.punkts.</w:t>
      </w:r>
    </w:p>
  </w:footnote>
  <w:footnote w:id="46">
    <w:p w14:paraId="5A6368CB" w14:textId="77777777" w:rsidR="00C9653E" w:rsidRDefault="00C9653E" w:rsidP="00C9653E">
      <w:pPr>
        <w:pStyle w:val="Vresteksts"/>
        <w:spacing w:line="276" w:lineRule="auto"/>
        <w:jc w:val="both"/>
      </w:pPr>
      <w:r>
        <w:rPr>
          <w:rStyle w:val="Vresatsauce"/>
        </w:rPr>
        <w:footnoteRef/>
      </w:r>
      <w:r>
        <w:t xml:space="preserve"> Satversmes tiesas 2010.gada 7.oktobra spriedums lietā Nr. 2010-01-01, 17.punkts; Satversmes tiesas 2013.gada 21.oktobra spriedums lietā Nr. 2013-02-01, 11.punkts; Satversmes tiesas 2018.gada 14.jūnija spriedums lietā Nr. </w:t>
      </w:r>
      <w:r w:rsidRPr="00324F1D">
        <w:t>2017-23-01</w:t>
      </w:r>
      <w:r>
        <w:t>, 12.punkts; kā arī Satversmes tiesas 2018.gada 15.marta spriedums lietā Nr. 2017-16-01, 11.1.punkts.</w:t>
      </w:r>
    </w:p>
  </w:footnote>
  <w:footnote w:id="47">
    <w:p w14:paraId="32B80E30" w14:textId="77777777" w:rsidR="00C9653E" w:rsidRDefault="00C9653E" w:rsidP="00C9653E">
      <w:pPr>
        <w:pStyle w:val="Vresteksts"/>
        <w:spacing w:line="276" w:lineRule="auto"/>
        <w:jc w:val="both"/>
      </w:pPr>
      <w:r>
        <w:rPr>
          <w:rStyle w:val="Vresatsauce"/>
        </w:rPr>
        <w:footnoteRef/>
      </w:r>
      <w:r>
        <w:t xml:space="preserve"> Satversmes tiesas 2017.gada 8.marta spriedums lietā Nr. 2016-07-01, 27.2.punkts.</w:t>
      </w:r>
    </w:p>
  </w:footnote>
  <w:footnote w:id="48">
    <w:p w14:paraId="5A050421" w14:textId="77777777" w:rsidR="00C9653E" w:rsidRDefault="00C9653E" w:rsidP="00C9653E">
      <w:pPr>
        <w:pStyle w:val="Vresteksts"/>
        <w:spacing w:line="276" w:lineRule="auto"/>
        <w:jc w:val="both"/>
      </w:pPr>
      <w:r>
        <w:rPr>
          <w:rStyle w:val="Vresatsauce"/>
        </w:rPr>
        <w:footnoteRef/>
      </w:r>
      <w:r>
        <w:t xml:space="preserve"> Satversmes tiesas 2006.gada 14.marta spriedums lietā Nr. 2005-18-01, 16.2.punkts; kā arī Satversmes tiesas 2010.gada 7.oktobra spriedums lietā Nr. 2010-01-01, 15.2.punkts.</w:t>
      </w:r>
    </w:p>
  </w:footnote>
  <w:footnote w:id="49">
    <w:p w14:paraId="0D7C44C7" w14:textId="77777777" w:rsidR="00C9653E" w:rsidRDefault="00C9653E" w:rsidP="00C9653E">
      <w:pPr>
        <w:pStyle w:val="Vresteksts"/>
        <w:spacing w:line="276" w:lineRule="auto"/>
        <w:jc w:val="both"/>
      </w:pPr>
      <w:r>
        <w:rPr>
          <w:rStyle w:val="Vresatsauce"/>
        </w:rPr>
        <w:footnoteRef/>
      </w:r>
      <w:r>
        <w:t xml:space="preserve"> Satversmes tiesas 2008.gada 2.jūnija spriedums lietā Nr. 2007-22-01, 11.punkts.</w:t>
      </w:r>
    </w:p>
  </w:footnote>
  <w:footnote w:id="50">
    <w:p w14:paraId="73673126" w14:textId="77777777" w:rsidR="00C9653E" w:rsidRDefault="00C9653E" w:rsidP="00C9653E">
      <w:pPr>
        <w:pStyle w:val="Vresteksts"/>
        <w:spacing w:line="276" w:lineRule="auto"/>
        <w:jc w:val="both"/>
      </w:pPr>
      <w:r>
        <w:rPr>
          <w:rStyle w:val="Vresatsauce"/>
        </w:rPr>
        <w:footnoteRef/>
      </w:r>
      <w:r>
        <w:t xml:space="preserve"> </w:t>
      </w:r>
      <w:r w:rsidRPr="0093656C">
        <w:t xml:space="preserve">sal. Eiropas Cilvēktiesību tiesas 1991.gada 29.oktobra spriedums lietā </w:t>
      </w:r>
      <w:r>
        <w:t>„</w:t>
      </w:r>
      <w:proofErr w:type="spellStart"/>
      <w:r w:rsidRPr="0093656C">
        <w:t>Fejde</w:t>
      </w:r>
      <w:proofErr w:type="spellEnd"/>
      <w:r w:rsidRPr="0093656C">
        <w:t xml:space="preserve"> v. </w:t>
      </w:r>
      <w:proofErr w:type="spellStart"/>
      <w:r w:rsidRPr="0093656C">
        <w:t>Sweden</w:t>
      </w:r>
      <w:proofErr w:type="spellEnd"/>
      <w:r>
        <w:t xml:space="preserve">”, </w:t>
      </w:r>
      <w:r w:rsidRPr="0093656C">
        <w:t>iesni</w:t>
      </w:r>
      <w:r>
        <w:t>eguma Nr. 12631/87, 31.punkts.</w:t>
      </w:r>
    </w:p>
  </w:footnote>
  <w:footnote w:id="51">
    <w:p w14:paraId="58D57B1C" w14:textId="77777777" w:rsidR="00C9653E" w:rsidRDefault="00C9653E" w:rsidP="00C9653E">
      <w:pPr>
        <w:pStyle w:val="Vresteksts"/>
        <w:spacing w:line="276" w:lineRule="auto"/>
        <w:jc w:val="both"/>
      </w:pPr>
      <w:r>
        <w:rPr>
          <w:rStyle w:val="Vresatsauce"/>
        </w:rPr>
        <w:footnoteRef/>
      </w:r>
      <w:r>
        <w:t xml:space="preserve"> Bitāns A., Briede J., </w:t>
      </w:r>
      <w:proofErr w:type="spellStart"/>
      <w:r>
        <w:t>Danovskis</w:t>
      </w:r>
      <w:proofErr w:type="spellEnd"/>
      <w:r>
        <w:t xml:space="preserve"> E., </w:t>
      </w:r>
      <w:proofErr w:type="spellStart"/>
      <w:r>
        <w:t>Litvins</w:t>
      </w:r>
      <w:proofErr w:type="spellEnd"/>
      <w:r>
        <w:t xml:space="preserve"> G., </w:t>
      </w:r>
      <w:proofErr w:type="spellStart"/>
      <w:r>
        <w:t>Višķere</w:t>
      </w:r>
      <w:proofErr w:type="spellEnd"/>
      <w:r>
        <w:t xml:space="preserve"> I. Satversmes 92.panta komentārs. </w:t>
      </w:r>
      <w:proofErr w:type="spellStart"/>
      <w:r>
        <w:t>Grām</w:t>
      </w:r>
      <w:proofErr w:type="spellEnd"/>
      <w:r>
        <w:t xml:space="preserve">.: Latvijas Republikas Satversmes komentāri. VIII nodaļa. Cilvēka </w:t>
      </w:r>
      <w:proofErr w:type="spellStart"/>
      <w:r>
        <w:t>pamattiesības</w:t>
      </w:r>
      <w:proofErr w:type="spellEnd"/>
      <w:r>
        <w:t xml:space="preserve">. Autoru kolektīvs prof. </w:t>
      </w:r>
      <w:proofErr w:type="spellStart"/>
      <w:r>
        <w:t>R.Baloža</w:t>
      </w:r>
      <w:proofErr w:type="spellEnd"/>
      <w:r>
        <w:t xml:space="preserve"> zinātniskā vadībā. Rīga: Latvijas Vēstnesis, 2011, 134.lpp.</w:t>
      </w:r>
    </w:p>
  </w:footnote>
  <w:footnote w:id="52">
    <w:p w14:paraId="10E0C834" w14:textId="77777777" w:rsidR="00C9653E" w:rsidRDefault="00C9653E" w:rsidP="00C9653E">
      <w:pPr>
        <w:pStyle w:val="Vresteksts"/>
        <w:spacing w:line="276" w:lineRule="auto"/>
        <w:jc w:val="both"/>
      </w:pPr>
      <w:r>
        <w:rPr>
          <w:rStyle w:val="Vresatsauce"/>
        </w:rPr>
        <w:footnoteRef/>
      </w:r>
      <w:r>
        <w:t xml:space="preserve"> </w:t>
      </w:r>
      <w:proofErr w:type="spellStart"/>
      <w:r>
        <w:t>Meikališa</w:t>
      </w:r>
      <w:proofErr w:type="spellEnd"/>
      <w:r>
        <w:t xml:space="preserve"> Ā., Strada-Rozenberga K. </w:t>
      </w:r>
      <w:r w:rsidRPr="0034677F">
        <w:t xml:space="preserve">Kriminālprocesa likuma un Krimināllikuma jaunāko grozījumu komentārs un subjektīvs vērtējums </w:t>
      </w:r>
      <w:proofErr w:type="spellStart"/>
      <w:r w:rsidRPr="0034677F">
        <w:t>daudzsološajām</w:t>
      </w:r>
      <w:proofErr w:type="spellEnd"/>
      <w:r w:rsidRPr="0034677F">
        <w:t xml:space="preserve"> prognozēm</w:t>
      </w:r>
      <w:r>
        <w:t>. Jurista Vārds, 21.07.2020., Nr. 29(1139), 57.lpp.</w:t>
      </w:r>
    </w:p>
  </w:footnote>
  <w:footnote w:id="53">
    <w:p w14:paraId="1A6D1D01" w14:textId="77777777" w:rsidR="00C9653E" w:rsidRDefault="00C9653E" w:rsidP="00C9653E">
      <w:pPr>
        <w:pStyle w:val="Vresteksts"/>
        <w:spacing w:line="276" w:lineRule="auto"/>
        <w:jc w:val="both"/>
      </w:pPr>
      <w:r>
        <w:rPr>
          <w:rStyle w:val="Vresatsauce"/>
        </w:rPr>
        <w:footnoteRef/>
      </w:r>
      <w:r>
        <w:t xml:space="preserve"> Satversmes tiesas 2002.gada 20.jūnija spriedums lietā Nr. 2001-17-0106, secinājumu daļas 4.punkts.</w:t>
      </w:r>
    </w:p>
  </w:footnote>
  <w:footnote w:id="54">
    <w:p w14:paraId="66FE65FC" w14:textId="77777777" w:rsidR="00C9653E" w:rsidRDefault="00C9653E" w:rsidP="00C9653E">
      <w:pPr>
        <w:pStyle w:val="Vresteksts"/>
        <w:spacing w:line="276" w:lineRule="auto"/>
        <w:jc w:val="both"/>
      </w:pPr>
      <w:r>
        <w:rPr>
          <w:rStyle w:val="Vresatsauce"/>
        </w:rPr>
        <w:footnoteRef/>
      </w:r>
      <w:r>
        <w:t xml:space="preserve"> Satversmes tiesas 2003.gada 6.novembra spriedums lietā Nr. 2003-10-01, secinājumu daļas 6.punkts; kā arī Satversmes tiesas 2018.gada 15.marta spriedums lietā Nr. 2017-16-01, 16.1.1.punkts.</w:t>
      </w:r>
    </w:p>
  </w:footnote>
  <w:footnote w:id="55">
    <w:p w14:paraId="489B5E58" w14:textId="77777777" w:rsidR="00C9653E" w:rsidRDefault="00C9653E" w:rsidP="00C9653E">
      <w:pPr>
        <w:pStyle w:val="Vresteksts"/>
        <w:spacing w:line="276" w:lineRule="auto"/>
        <w:jc w:val="both"/>
      </w:pPr>
      <w:r>
        <w:rPr>
          <w:rStyle w:val="Vresatsauce"/>
        </w:rPr>
        <w:footnoteRef/>
      </w:r>
      <w:r>
        <w:t xml:space="preserve"> Sal. Satversmes tiesas 2007.gada 11.aprīļa spriedums lietā Nr. 2006-28-01, 9.punkts.</w:t>
      </w:r>
    </w:p>
  </w:footnote>
  <w:footnote w:id="56">
    <w:p w14:paraId="0B7F4218" w14:textId="77777777" w:rsidR="00C9653E" w:rsidRDefault="00C9653E" w:rsidP="00C9653E">
      <w:pPr>
        <w:pStyle w:val="Vresteksts"/>
        <w:spacing w:line="276" w:lineRule="auto"/>
        <w:jc w:val="both"/>
      </w:pPr>
      <w:r>
        <w:rPr>
          <w:rStyle w:val="Vresatsauce"/>
        </w:rPr>
        <w:footnoteRef/>
      </w:r>
      <w:r>
        <w:t xml:space="preserve"> Sal. Satversmes tiesas 2007.gada 11.aprīļa spriedums lietā Nr. 2006-28-01, 12.punkts; kā arī Satversmes tiesas 2012.gada 6.jūbija spriedums lietā Nr. 2011-21-01, 11.3.punkts.</w:t>
      </w:r>
    </w:p>
  </w:footnote>
  <w:footnote w:id="57">
    <w:p w14:paraId="2C174A51" w14:textId="77777777" w:rsidR="00C9653E" w:rsidRDefault="00C9653E" w:rsidP="00C9653E">
      <w:pPr>
        <w:pStyle w:val="Vresteksts"/>
        <w:spacing w:line="276" w:lineRule="auto"/>
        <w:jc w:val="both"/>
      </w:pPr>
      <w:r>
        <w:rPr>
          <w:rStyle w:val="Vresatsauce"/>
        </w:rPr>
        <w:footnoteRef/>
      </w:r>
      <w:r>
        <w:t xml:space="preserve"> Sal. Satversmes tiesas 2014.gada 9.janvāra spriedums lietā Nr. 2013-08-01, 13.2.punkts; Satversmes tiesas 2018.gada 14.decembra spriedums lietā Nr. 2018-09-0103, 17.punkts.</w:t>
      </w:r>
    </w:p>
  </w:footnote>
  <w:footnote w:id="58">
    <w:p w14:paraId="148AD6BA" w14:textId="77777777" w:rsidR="00C9653E" w:rsidRDefault="00C9653E" w:rsidP="00C9653E">
      <w:pPr>
        <w:pStyle w:val="Vresteksts"/>
        <w:spacing w:line="276" w:lineRule="auto"/>
        <w:jc w:val="both"/>
      </w:pPr>
      <w:r>
        <w:rPr>
          <w:rStyle w:val="Vresatsauce"/>
        </w:rPr>
        <w:footnoteRef/>
      </w:r>
      <w:r>
        <w:t xml:space="preserve"> Satversmes tiesas 2003.gada 27.</w:t>
      </w:r>
      <w:r w:rsidRPr="00BA7475">
        <w:t>jūnija spriedum</w:t>
      </w:r>
      <w:r>
        <w:t>s lietā Nr. </w:t>
      </w:r>
      <w:r w:rsidRPr="00BA7475">
        <w:t>2003-04-01</w:t>
      </w:r>
      <w:r>
        <w:t>, secinājumu daļas 2.1.punkts; sal. arī Satversmes tiesas 2006.gada 14.marta spriedums lietā Nr. 2005-18-01, 13.1.punkts; Satversmes tiesas 2013.gada 21.oktobra spriedums lietā Nr. 2013-02-01, 10.1.punkts.</w:t>
      </w:r>
    </w:p>
  </w:footnote>
  <w:footnote w:id="59">
    <w:p w14:paraId="2D5C541F" w14:textId="77777777" w:rsidR="00C9653E" w:rsidRDefault="00C9653E" w:rsidP="00C9653E">
      <w:pPr>
        <w:pStyle w:val="Vresteksts"/>
        <w:spacing w:line="276" w:lineRule="auto"/>
        <w:jc w:val="both"/>
      </w:pPr>
      <w:r>
        <w:rPr>
          <w:rStyle w:val="Vresatsauce"/>
        </w:rPr>
        <w:footnoteRef/>
      </w:r>
      <w:r>
        <w:t xml:space="preserve"> Eiropas Cilvēktiesību tiesas 1997.gada 19.decembra spriedums lietā „</w:t>
      </w:r>
      <w:proofErr w:type="spellStart"/>
      <w:r w:rsidRPr="00A90E6C">
        <w:t>Brualla</w:t>
      </w:r>
      <w:proofErr w:type="spellEnd"/>
      <w:r w:rsidRPr="00A90E6C">
        <w:t xml:space="preserve"> </w:t>
      </w:r>
      <w:proofErr w:type="spellStart"/>
      <w:r w:rsidRPr="00A90E6C">
        <w:t>Gómez</w:t>
      </w:r>
      <w:proofErr w:type="spellEnd"/>
      <w:r w:rsidRPr="00A90E6C">
        <w:t xml:space="preserve"> </w:t>
      </w:r>
      <w:proofErr w:type="spellStart"/>
      <w:r w:rsidRPr="00A90E6C">
        <w:t>de</w:t>
      </w:r>
      <w:proofErr w:type="spellEnd"/>
      <w:r w:rsidRPr="00A90E6C">
        <w:t xml:space="preserve"> </w:t>
      </w:r>
      <w:proofErr w:type="spellStart"/>
      <w:r w:rsidRPr="00A90E6C">
        <w:t>la</w:t>
      </w:r>
      <w:proofErr w:type="spellEnd"/>
      <w:r w:rsidRPr="00A90E6C">
        <w:t xml:space="preserve"> </w:t>
      </w:r>
      <w:proofErr w:type="spellStart"/>
      <w:r w:rsidRPr="00A90E6C">
        <w:t>Torre</w:t>
      </w:r>
      <w:proofErr w:type="spellEnd"/>
      <w:r w:rsidRPr="00A90E6C">
        <w:t xml:space="preserve"> v. </w:t>
      </w:r>
      <w:proofErr w:type="spellStart"/>
      <w:r w:rsidRPr="00A90E6C">
        <w:t>Spain</w:t>
      </w:r>
      <w:proofErr w:type="spellEnd"/>
      <w:r>
        <w:t>”, iesnieguma Nr. 26737/95, 37.punkts; Eiropas Cilvēktiesību tiesas 2007.gada 24.maija spriedums lietā „</w:t>
      </w:r>
      <w:proofErr w:type="spellStart"/>
      <w:r>
        <w:t>Dunayev</w:t>
      </w:r>
      <w:proofErr w:type="spellEnd"/>
      <w:r>
        <w:t xml:space="preserve"> v. </w:t>
      </w:r>
      <w:proofErr w:type="spellStart"/>
      <w:r>
        <w:t>Russia</w:t>
      </w:r>
      <w:proofErr w:type="spellEnd"/>
      <w:r>
        <w:t>”, iesnieguma Nr. 70142/01, 34.punkts; Eiropas Cilvēktiesību tiesas 2018.gada 5.aprīļa spriedums lietā „</w:t>
      </w:r>
      <w:proofErr w:type="spellStart"/>
      <w:r>
        <w:t>Zubac</w:t>
      </w:r>
      <w:proofErr w:type="spellEnd"/>
      <w:r>
        <w:t xml:space="preserve"> V. </w:t>
      </w:r>
      <w:proofErr w:type="spellStart"/>
      <w:r>
        <w:t>Croatia</w:t>
      </w:r>
      <w:proofErr w:type="spellEnd"/>
      <w:r>
        <w:t>”, iesnieguma Nr. 40160/12, 80.punkts.</w:t>
      </w:r>
    </w:p>
  </w:footnote>
  <w:footnote w:id="60">
    <w:p w14:paraId="4A13E5BB" w14:textId="77777777" w:rsidR="00C9653E" w:rsidRDefault="00C9653E" w:rsidP="00C9653E">
      <w:pPr>
        <w:pStyle w:val="Vresteksts"/>
        <w:spacing w:line="276" w:lineRule="auto"/>
        <w:jc w:val="both"/>
      </w:pPr>
      <w:r>
        <w:rPr>
          <w:rStyle w:val="Vresatsauce"/>
        </w:rPr>
        <w:footnoteRef/>
      </w:r>
      <w:r>
        <w:t xml:space="preserve"> Bitāns A., Briede J., </w:t>
      </w:r>
      <w:proofErr w:type="spellStart"/>
      <w:r>
        <w:t>Danovskis</w:t>
      </w:r>
      <w:proofErr w:type="spellEnd"/>
      <w:r>
        <w:t xml:space="preserve"> E., </w:t>
      </w:r>
      <w:proofErr w:type="spellStart"/>
      <w:r>
        <w:t>Litvins</w:t>
      </w:r>
      <w:proofErr w:type="spellEnd"/>
      <w:r>
        <w:t xml:space="preserve"> G., </w:t>
      </w:r>
      <w:proofErr w:type="spellStart"/>
      <w:r>
        <w:t>Višķere</w:t>
      </w:r>
      <w:proofErr w:type="spellEnd"/>
      <w:r>
        <w:t xml:space="preserve"> I., 2011, 134.lpp.</w:t>
      </w:r>
    </w:p>
  </w:footnote>
  <w:footnote w:id="61">
    <w:p w14:paraId="786100CF" w14:textId="77777777" w:rsidR="00C9653E" w:rsidRDefault="00C9653E" w:rsidP="00C9653E">
      <w:pPr>
        <w:pStyle w:val="Vresteksts"/>
        <w:spacing w:line="276" w:lineRule="auto"/>
        <w:jc w:val="both"/>
      </w:pPr>
      <w:r>
        <w:rPr>
          <w:rStyle w:val="Vresatsauce"/>
        </w:rPr>
        <w:footnoteRef/>
      </w:r>
      <w:r>
        <w:t xml:space="preserve"> </w:t>
      </w:r>
      <w:r w:rsidRPr="001E54E5">
        <w:t xml:space="preserve">Likumprojekta "Grozījumi Kriminālprocesa likumā" (Nr. 427/Lp13) papildinātā anotācija. Pieejama: </w:t>
      </w:r>
      <w:hyperlink r:id="rId4" w:history="1">
        <w:r w:rsidRPr="007E6FEF">
          <w:rPr>
            <w:rStyle w:val="Hipersaite"/>
          </w:rPr>
          <w:t>https://likumi.lv/wwwraksti/LIKUMI/PAPILDINATAS_ANOTACIJAS/TM_PAPILD_ANOT_427_LP13_15062020.DOCX</w:t>
        </w:r>
      </w:hyperlink>
    </w:p>
  </w:footnote>
  <w:footnote w:id="62">
    <w:p w14:paraId="3C690926" w14:textId="77777777" w:rsidR="00C9653E" w:rsidRDefault="00C9653E" w:rsidP="00C9653E">
      <w:pPr>
        <w:pStyle w:val="Vresteksts"/>
        <w:spacing w:line="276" w:lineRule="auto"/>
        <w:jc w:val="both"/>
      </w:pPr>
      <w:r>
        <w:rPr>
          <w:rStyle w:val="Vresatsauce"/>
        </w:rPr>
        <w:footnoteRef/>
      </w:r>
      <w:r>
        <w:t xml:space="preserve"> Turpat.</w:t>
      </w:r>
    </w:p>
  </w:footnote>
  <w:footnote w:id="63">
    <w:p w14:paraId="2490CBB3" w14:textId="77777777" w:rsidR="00C9653E" w:rsidRDefault="00C9653E" w:rsidP="00C9653E">
      <w:pPr>
        <w:pStyle w:val="Vresteksts"/>
        <w:spacing w:line="276" w:lineRule="auto"/>
        <w:jc w:val="both"/>
      </w:pPr>
      <w:r>
        <w:rPr>
          <w:rStyle w:val="Vresatsauce"/>
        </w:rPr>
        <w:footnoteRef/>
      </w:r>
      <w:r>
        <w:t xml:space="preserve"> Satversmes tiesas 2018.gada 15.marta spriedums lietā Nr. 2017-16-01, 16.1.3.punkts;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69511D" w:rsidRPr="004D15A9" w:rsidRDefault="0069511D">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744E89">
          <w:rPr>
            <w:rFonts w:ascii="Times New Roman" w:hAnsi="Times New Roman" w:cs="Times New Roman"/>
            <w:noProof/>
            <w:sz w:val="24"/>
            <w:szCs w:val="24"/>
          </w:rPr>
          <w:t>1</w:t>
        </w:r>
        <w:r w:rsidR="00744E89">
          <w:rPr>
            <w:rFonts w:ascii="Times New Roman" w:hAnsi="Times New Roman" w:cs="Times New Roman"/>
            <w:noProof/>
            <w:sz w:val="24"/>
            <w:szCs w:val="24"/>
          </w:rPr>
          <w:t>9</w:t>
        </w:r>
        <w:r w:rsidRPr="004D15A9">
          <w:rPr>
            <w:rFonts w:ascii="Times New Roman" w:hAnsi="Times New Roman" w:cs="Times New Roman"/>
            <w:sz w:val="24"/>
            <w:szCs w:val="24"/>
          </w:rPr>
          <w:fldChar w:fldCharType="end"/>
        </w:r>
      </w:p>
    </w:sdtContent>
  </w:sdt>
  <w:p w14:paraId="2E7D154D" w14:textId="77777777" w:rsidR="0069511D" w:rsidRDefault="0069511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4651"/>
    <w:multiLevelType w:val="multilevel"/>
    <w:tmpl w:val="95E62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8E4007"/>
    <w:multiLevelType w:val="hybridMultilevel"/>
    <w:tmpl w:val="339069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B566DC4"/>
    <w:multiLevelType w:val="hybridMultilevel"/>
    <w:tmpl w:val="7A7A403A"/>
    <w:lvl w:ilvl="0" w:tplc="B810CA3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F3912C3"/>
    <w:multiLevelType w:val="hybridMultilevel"/>
    <w:tmpl w:val="2A02F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DA2C31"/>
    <w:multiLevelType w:val="multilevel"/>
    <w:tmpl w:val="0A000F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8247C98"/>
    <w:multiLevelType w:val="hybridMultilevel"/>
    <w:tmpl w:val="4D7AC288"/>
    <w:lvl w:ilvl="0" w:tplc="A4F24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C0C3080"/>
    <w:multiLevelType w:val="hybridMultilevel"/>
    <w:tmpl w:val="96329C7A"/>
    <w:lvl w:ilvl="0" w:tplc="EB4C4530">
      <w:start w:val="1"/>
      <w:numFmt w:val="decimal"/>
      <w:lvlText w:val="%1."/>
      <w:lvlJc w:val="left"/>
      <w:pPr>
        <w:ind w:left="644"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168"/>
    <w:rsid w:val="00002EF4"/>
    <w:rsid w:val="00005EE8"/>
    <w:rsid w:val="0000604D"/>
    <w:rsid w:val="000072CF"/>
    <w:rsid w:val="0000732E"/>
    <w:rsid w:val="0002091F"/>
    <w:rsid w:val="000210A6"/>
    <w:rsid w:val="00024BD8"/>
    <w:rsid w:val="000308C9"/>
    <w:rsid w:val="00031256"/>
    <w:rsid w:val="000356A7"/>
    <w:rsid w:val="00040B93"/>
    <w:rsid w:val="000449E1"/>
    <w:rsid w:val="00044AB0"/>
    <w:rsid w:val="000526CB"/>
    <w:rsid w:val="0005702B"/>
    <w:rsid w:val="000666C0"/>
    <w:rsid w:val="00072AD9"/>
    <w:rsid w:val="0008048B"/>
    <w:rsid w:val="00081327"/>
    <w:rsid w:val="00084207"/>
    <w:rsid w:val="0009355A"/>
    <w:rsid w:val="000967C7"/>
    <w:rsid w:val="0009705A"/>
    <w:rsid w:val="000A69EA"/>
    <w:rsid w:val="000C08BC"/>
    <w:rsid w:val="000C2B0B"/>
    <w:rsid w:val="000C3CC1"/>
    <w:rsid w:val="000C54CD"/>
    <w:rsid w:val="000D0937"/>
    <w:rsid w:val="000D1C81"/>
    <w:rsid w:val="000D4BF6"/>
    <w:rsid w:val="000E3461"/>
    <w:rsid w:val="000E42FD"/>
    <w:rsid w:val="000E4678"/>
    <w:rsid w:val="000E6583"/>
    <w:rsid w:val="000F2217"/>
    <w:rsid w:val="000F4C0B"/>
    <w:rsid w:val="000F55A1"/>
    <w:rsid w:val="000F5E4B"/>
    <w:rsid w:val="000F6D70"/>
    <w:rsid w:val="000F754E"/>
    <w:rsid w:val="00100297"/>
    <w:rsid w:val="00101CD5"/>
    <w:rsid w:val="0010371E"/>
    <w:rsid w:val="00106A5F"/>
    <w:rsid w:val="001130D8"/>
    <w:rsid w:val="00120F33"/>
    <w:rsid w:val="001265A9"/>
    <w:rsid w:val="00130553"/>
    <w:rsid w:val="00130590"/>
    <w:rsid w:val="00134CB3"/>
    <w:rsid w:val="001411D6"/>
    <w:rsid w:val="00142962"/>
    <w:rsid w:val="0014479B"/>
    <w:rsid w:val="0015113A"/>
    <w:rsid w:val="00152512"/>
    <w:rsid w:val="0015404B"/>
    <w:rsid w:val="00161C77"/>
    <w:rsid w:val="00162715"/>
    <w:rsid w:val="00164BF0"/>
    <w:rsid w:val="0016602E"/>
    <w:rsid w:val="00167B10"/>
    <w:rsid w:val="00177E39"/>
    <w:rsid w:val="001821B3"/>
    <w:rsid w:val="00195C80"/>
    <w:rsid w:val="001A58F5"/>
    <w:rsid w:val="001B079B"/>
    <w:rsid w:val="001B4FC9"/>
    <w:rsid w:val="001B505B"/>
    <w:rsid w:val="001B7C24"/>
    <w:rsid w:val="001C2A06"/>
    <w:rsid w:val="001C2EA8"/>
    <w:rsid w:val="001C5969"/>
    <w:rsid w:val="001D3C11"/>
    <w:rsid w:val="001E5993"/>
    <w:rsid w:val="001F3F57"/>
    <w:rsid w:val="001F4B11"/>
    <w:rsid w:val="001F68D7"/>
    <w:rsid w:val="00200898"/>
    <w:rsid w:val="00200D3F"/>
    <w:rsid w:val="00203C17"/>
    <w:rsid w:val="00210C8B"/>
    <w:rsid w:val="002126E6"/>
    <w:rsid w:val="00220682"/>
    <w:rsid w:val="00224BCF"/>
    <w:rsid w:val="00227B29"/>
    <w:rsid w:val="00231469"/>
    <w:rsid w:val="00235B14"/>
    <w:rsid w:val="00240918"/>
    <w:rsid w:val="00242FB8"/>
    <w:rsid w:val="00245161"/>
    <w:rsid w:val="002466DB"/>
    <w:rsid w:val="00252B12"/>
    <w:rsid w:val="00257158"/>
    <w:rsid w:val="002654D1"/>
    <w:rsid w:val="00271CD4"/>
    <w:rsid w:val="002743E4"/>
    <w:rsid w:val="00274CB8"/>
    <w:rsid w:val="0028655F"/>
    <w:rsid w:val="00290182"/>
    <w:rsid w:val="002A003C"/>
    <w:rsid w:val="002B3EF4"/>
    <w:rsid w:val="002B5E7C"/>
    <w:rsid w:val="002C7BB7"/>
    <w:rsid w:val="002D568E"/>
    <w:rsid w:val="002D7943"/>
    <w:rsid w:val="002E09F0"/>
    <w:rsid w:val="002E328A"/>
    <w:rsid w:val="002E5E0C"/>
    <w:rsid w:val="002E7DA9"/>
    <w:rsid w:val="00305ADB"/>
    <w:rsid w:val="00313EA0"/>
    <w:rsid w:val="00316E9C"/>
    <w:rsid w:val="00321D99"/>
    <w:rsid w:val="00323436"/>
    <w:rsid w:val="00327FF6"/>
    <w:rsid w:val="003324D6"/>
    <w:rsid w:val="003359F8"/>
    <w:rsid w:val="003528AF"/>
    <w:rsid w:val="003531FE"/>
    <w:rsid w:val="003617D8"/>
    <w:rsid w:val="00364D48"/>
    <w:rsid w:val="003660BC"/>
    <w:rsid w:val="00367D3B"/>
    <w:rsid w:val="003721C7"/>
    <w:rsid w:val="003803BC"/>
    <w:rsid w:val="003922B0"/>
    <w:rsid w:val="003A2A0B"/>
    <w:rsid w:val="003A4E09"/>
    <w:rsid w:val="003B68EC"/>
    <w:rsid w:val="003C31C5"/>
    <w:rsid w:val="003D283C"/>
    <w:rsid w:val="003D31B5"/>
    <w:rsid w:val="003D4049"/>
    <w:rsid w:val="003D4869"/>
    <w:rsid w:val="003D6744"/>
    <w:rsid w:val="003D67F6"/>
    <w:rsid w:val="003E26A1"/>
    <w:rsid w:val="003E6303"/>
    <w:rsid w:val="003E7A69"/>
    <w:rsid w:val="003F0D6D"/>
    <w:rsid w:val="003F4F55"/>
    <w:rsid w:val="003F7B5F"/>
    <w:rsid w:val="00402133"/>
    <w:rsid w:val="00403F6B"/>
    <w:rsid w:val="004169FB"/>
    <w:rsid w:val="00416DA9"/>
    <w:rsid w:val="0042645D"/>
    <w:rsid w:val="00434699"/>
    <w:rsid w:val="0043541A"/>
    <w:rsid w:val="0043571B"/>
    <w:rsid w:val="00436B68"/>
    <w:rsid w:val="0043727C"/>
    <w:rsid w:val="00442434"/>
    <w:rsid w:val="00446667"/>
    <w:rsid w:val="0045025F"/>
    <w:rsid w:val="0045044E"/>
    <w:rsid w:val="00450B2E"/>
    <w:rsid w:val="004520C2"/>
    <w:rsid w:val="00456648"/>
    <w:rsid w:val="00461275"/>
    <w:rsid w:val="004636CE"/>
    <w:rsid w:val="00463E2D"/>
    <w:rsid w:val="004667CC"/>
    <w:rsid w:val="00472B9C"/>
    <w:rsid w:val="00480E70"/>
    <w:rsid w:val="00481D42"/>
    <w:rsid w:val="004820BA"/>
    <w:rsid w:val="004825BC"/>
    <w:rsid w:val="00482BA3"/>
    <w:rsid w:val="004854A6"/>
    <w:rsid w:val="004872C2"/>
    <w:rsid w:val="004875D3"/>
    <w:rsid w:val="004A4C0A"/>
    <w:rsid w:val="004A75FC"/>
    <w:rsid w:val="004B1FA0"/>
    <w:rsid w:val="004B34CB"/>
    <w:rsid w:val="004B609C"/>
    <w:rsid w:val="004B7EC5"/>
    <w:rsid w:val="004C3093"/>
    <w:rsid w:val="004C3B12"/>
    <w:rsid w:val="004C6CC0"/>
    <w:rsid w:val="004D15A9"/>
    <w:rsid w:val="004D4D2E"/>
    <w:rsid w:val="004E084B"/>
    <w:rsid w:val="004E2A10"/>
    <w:rsid w:val="004F3252"/>
    <w:rsid w:val="004F51C8"/>
    <w:rsid w:val="004F5560"/>
    <w:rsid w:val="00510523"/>
    <w:rsid w:val="005125F6"/>
    <w:rsid w:val="005130AB"/>
    <w:rsid w:val="00513752"/>
    <w:rsid w:val="00514D1D"/>
    <w:rsid w:val="00515CEE"/>
    <w:rsid w:val="00516851"/>
    <w:rsid w:val="0051698F"/>
    <w:rsid w:val="00516D14"/>
    <w:rsid w:val="00517204"/>
    <w:rsid w:val="00520285"/>
    <w:rsid w:val="0052037E"/>
    <w:rsid w:val="00522F80"/>
    <w:rsid w:val="0052514E"/>
    <w:rsid w:val="00526A63"/>
    <w:rsid w:val="00531DF0"/>
    <w:rsid w:val="00534990"/>
    <w:rsid w:val="00546FE4"/>
    <w:rsid w:val="00551DD0"/>
    <w:rsid w:val="0055257D"/>
    <w:rsid w:val="005558EB"/>
    <w:rsid w:val="005564DB"/>
    <w:rsid w:val="005607FC"/>
    <w:rsid w:val="0056459F"/>
    <w:rsid w:val="005746C5"/>
    <w:rsid w:val="00574798"/>
    <w:rsid w:val="00580EE7"/>
    <w:rsid w:val="0058128B"/>
    <w:rsid w:val="0058376B"/>
    <w:rsid w:val="00584DD8"/>
    <w:rsid w:val="00587C8A"/>
    <w:rsid w:val="0059057E"/>
    <w:rsid w:val="00594A9A"/>
    <w:rsid w:val="00594DF1"/>
    <w:rsid w:val="0059749A"/>
    <w:rsid w:val="005A03A5"/>
    <w:rsid w:val="005A3A71"/>
    <w:rsid w:val="005A7B7D"/>
    <w:rsid w:val="005C0266"/>
    <w:rsid w:val="005C4BC4"/>
    <w:rsid w:val="005C51A2"/>
    <w:rsid w:val="005C7F6B"/>
    <w:rsid w:val="005D4025"/>
    <w:rsid w:val="005D49DD"/>
    <w:rsid w:val="005D4E8A"/>
    <w:rsid w:val="005F3C08"/>
    <w:rsid w:val="006049FE"/>
    <w:rsid w:val="00605207"/>
    <w:rsid w:val="00612A92"/>
    <w:rsid w:val="0061537E"/>
    <w:rsid w:val="00626A7E"/>
    <w:rsid w:val="0063601C"/>
    <w:rsid w:val="00636C93"/>
    <w:rsid w:val="00643FFF"/>
    <w:rsid w:val="00644AA8"/>
    <w:rsid w:val="006451F5"/>
    <w:rsid w:val="00646B81"/>
    <w:rsid w:val="0064773C"/>
    <w:rsid w:val="00647935"/>
    <w:rsid w:val="00650807"/>
    <w:rsid w:val="0065284B"/>
    <w:rsid w:val="00656D7C"/>
    <w:rsid w:val="00663572"/>
    <w:rsid w:val="006641E1"/>
    <w:rsid w:val="00674244"/>
    <w:rsid w:val="00674BA4"/>
    <w:rsid w:val="00675228"/>
    <w:rsid w:val="006755E6"/>
    <w:rsid w:val="00677F63"/>
    <w:rsid w:val="00680AEA"/>
    <w:rsid w:val="00682E20"/>
    <w:rsid w:val="00684F23"/>
    <w:rsid w:val="006860DD"/>
    <w:rsid w:val="0069511D"/>
    <w:rsid w:val="006A4C6E"/>
    <w:rsid w:val="006B2D48"/>
    <w:rsid w:val="006C11E0"/>
    <w:rsid w:val="006C1D11"/>
    <w:rsid w:val="006C5B63"/>
    <w:rsid w:val="006F5329"/>
    <w:rsid w:val="007005BE"/>
    <w:rsid w:val="007047F3"/>
    <w:rsid w:val="00706AC9"/>
    <w:rsid w:val="007123A9"/>
    <w:rsid w:val="007145BE"/>
    <w:rsid w:val="00720D15"/>
    <w:rsid w:val="007276BC"/>
    <w:rsid w:val="007313E0"/>
    <w:rsid w:val="00733CBC"/>
    <w:rsid w:val="007343CE"/>
    <w:rsid w:val="0073730D"/>
    <w:rsid w:val="00744E89"/>
    <w:rsid w:val="00753369"/>
    <w:rsid w:val="00757BAA"/>
    <w:rsid w:val="007658F1"/>
    <w:rsid w:val="00774826"/>
    <w:rsid w:val="00776297"/>
    <w:rsid w:val="0078022A"/>
    <w:rsid w:val="00780760"/>
    <w:rsid w:val="00785175"/>
    <w:rsid w:val="00795B0C"/>
    <w:rsid w:val="00795D6C"/>
    <w:rsid w:val="007963CB"/>
    <w:rsid w:val="00796508"/>
    <w:rsid w:val="007B0D32"/>
    <w:rsid w:val="007B1EE7"/>
    <w:rsid w:val="007B472C"/>
    <w:rsid w:val="007C64A8"/>
    <w:rsid w:val="007C66CC"/>
    <w:rsid w:val="007C76FD"/>
    <w:rsid w:val="007D4384"/>
    <w:rsid w:val="007E0ADB"/>
    <w:rsid w:val="007F4904"/>
    <w:rsid w:val="007F4E88"/>
    <w:rsid w:val="0080496F"/>
    <w:rsid w:val="00804D91"/>
    <w:rsid w:val="008051A2"/>
    <w:rsid w:val="0081203F"/>
    <w:rsid w:val="008148C3"/>
    <w:rsid w:val="0081778D"/>
    <w:rsid w:val="008216E8"/>
    <w:rsid w:val="00826B5F"/>
    <w:rsid w:val="00835023"/>
    <w:rsid w:val="008376B3"/>
    <w:rsid w:val="00841836"/>
    <w:rsid w:val="00843694"/>
    <w:rsid w:val="00843976"/>
    <w:rsid w:val="0084736C"/>
    <w:rsid w:val="00850AD4"/>
    <w:rsid w:val="00860472"/>
    <w:rsid w:val="0086394B"/>
    <w:rsid w:val="00866931"/>
    <w:rsid w:val="008826E9"/>
    <w:rsid w:val="00883DE0"/>
    <w:rsid w:val="008849CE"/>
    <w:rsid w:val="008858A9"/>
    <w:rsid w:val="0089433C"/>
    <w:rsid w:val="0089617D"/>
    <w:rsid w:val="008A259E"/>
    <w:rsid w:val="008A7888"/>
    <w:rsid w:val="008C277B"/>
    <w:rsid w:val="008C3DE8"/>
    <w:rsid w:val="008C5298"/>
    <w:rsid w:val="008C6DC2"/>
    <w:rsid w:val="008D2556"/>
    <w:rsid w:val="008E2701"/>
    <w:rsid w:val="008E4E93"/>
    <w:rsid w:val="008E52B0"/>
    <w:rsid w:val="008E78B2"/>
    <w:rsid w:val="008F4B44"/>
    <w:rsid w:val="00900CC1"/>
    <w:rsid w:val="009022DC"/>
    <w:rsid w:val="00903B80"/>
    <w:rsid w:val="00920E66"/>
    <w:rsid w:val="0094009C"/>
    <w:rsid w:val="00943299"/>
    <w:rsid w:val="0094444D"/>
    <w:rsid w:val="00947B27"/>
    <w:rsid w:val="00947DBD"/>
    <w:rsid w:val="00950C4E"/>
    <w:rsid w:val="009614B6"/>
    <w:rsid w:val="00961CD5"/>
    <w:rsid w:val="00964EA7"/>
    <w:rsid w:val="0096787C"/>
    <w:rsid w:val="00975B13"/>
    <w:rsid w:val="0097690A"/>
    <w:rsid w:val="00981FFB"/>
    <w:rsid w:val="00986761"/>
    <w:rsid w:val="00997954"/>
    <w:rsid w:val="009A3547"/>
    <w:rsid w:val="009B544B"/>
    <w:rsid w:val="009B6CE8"/>
    <w:rsid w:val="009C1484"/>
    <w:rsid w:val="009C32E9"/>
    <w:rsid w:val="009C41CD"/>
    <w:rsid w:val="009C4F26"/>
    <w:rsid w:val="009D3A41"/>
    <w:rsid w:val="009D5F4F"/>
    <w:rsid w:val="009F4E96"/>
    <w:rsid w:val="00A0035D"/>
    <w:rsid w:val="00A01F12"/>
    <w:rsid w:val="00A05000"/>
    <w:rsid w:val="00A1552F"/>
    <w:rsid w:val="00A1743E"/>
    <w:rsid w:val="00A20607"/>
    <w:rsid w:val="00A24CC2"/>
    <w:rsid w:val="00A35078"/>
    <w:rsid w:val="00A40E69"/>
    <w:rsid w:val="00A47E48"/>
    <w:rsid w:val="00A559FD"/>
    <w:rsid w:val="00A60731"/>
    <w:rsid w:val="00A621E1"/>
    <w:rsid w:val="00A849BB"/>
    <w:rsid w:val="00A91666"/>
    <w:rsid w:val="00A94FD1"/>
    <w:rsid w:val="00A978D8"/>
    <w:rsid w:val="00AA4B04"/>
    <w:rsid w:val="00AB2173"/>
    <w:rsid w:val="00AB39CF"/>
    <w:rsid w:val="00AB4D4D"/>
    <w:rsid w:val="00AB6562"/>
    <w:rsid w:val="00AC3622"/>
    <w:rsid w:val="00AC38CC"/>
    <w:rsid w:val="00AD34BD"/>
    <w:rsid w:val="00AD6085"/>
    <w:rsid w:val="00AE2993"/>
    <w:rsid w:val="00AF1897"/>
    <w:rsid w:val="00AF7E9D"/>
    <w:rsid w:val="00AF7FA3"/>
    <w:rsid w:val="00B00DC1"/>
    <w:rsid w:val="00B02AB4"/>
    <w:rsid w:val="00B0426D"/>
    <w:rsid w:val="00B101DD"/>
    <w:rsid w:val="00B216E7"/>
    <w:rsid w:val="00B220C7"/>
    <w:rsid w:val="00B247D2"/>
    <w:rsid w:val="00B255FA"/>
    <w:rsid w:val="00B26522"/>
    <w:rsid w:val="00B40D4D"/>
    <w:rsid w:val="00B44F95"/>
    <w:rsid w:val="00B47BE2"/>
    <w:rsid w:val="00B51754"/>
    <w:rsid w:val="00B61507"/>
    <w:rsid w:val="00B63CE2"/>
    <w:rsid w:val="00B63FC7"/>
    <w:rsid w:val="00B668FC"/>
    <w:rsid w:val="00B66DD3"/>
    <w:rsid w:val="00B67178"/>
    <w:rsid w:val="00B81C6E"/>
    <w:rsid w:val="00B82824"/>
    <w:rsid w:val="00B83C87"/>
    <w:rsid w:val="00B8797E"/>
    <w:rsid w:val="00B93277"/>
    <w:rsid w:val="00BA3C03"/>
    <w:rsid w:val="00BA425C"/>
    <w:rsid w:val="00BB1F46"/>
    <w:rsid w:val="00BB2840"/>
    <w:rsid w:val="00BC2633"/>
    <w:rsid w:val="00BC5AB9"/>
    <w:rsid w:val="00BD2C59"/>
    <w:rsid w:val="00BE2921"/>
    <w:rsid w:val="00BF327D"/>
    <w:rsid w:val="00BF3A34"/>
    <w:rsid w:val="00BF5E25"/>
    <w:rsid w:val="00C11443"/>
    <w:rsid w:val="00C13091"/>
    <w:rsid w:val="00C16104"/>
    <w:rsid w:val="00C2196E"/>
    <w:rsid w:val="00C257A1"/>
    <w:rsid w:val="00C30C4F"/>
    <w:rsid w:val="00C33A3B"/>
    <w:rsid w:val="00C37C68"/>
    <w:rsid w:val="00C456B2"/>
    <w:rsid w:val="00C5419C"/>
    <w:rsid w:val="00C624F2"/>
    <w:rsid w:val="00C71674"/>
    <w:rsid w:val="00C736AB"/>
    <w:rsid w:val="00C8255E"/>
    <w:rsid w:val="00C830FD"/>
    <w:rsid w:val="00C872D7"/>
    <w:rsid w:val="00C909C8"/>
    <w:rsid w:val="00C93E25"/>
    <w:rsid w:val="00C9653E"/>
    <w:rsid w:val="00C96F16"/>
    <w:rsid w:val="00CA0021"/>
    <w:rsid w:val="00CA0868"/>
    <w:rsid w:val="00CB169D"/>
    <w:rsid w:val="00CB201F"/>
    <w:rsid w:val="00CC16B9"/>
    <w:rsid w:val="00CC1C25"/>
    <w:rsid w:val="00CC2FE4"/>
    <w:rsid w:val="00CC5F33"/>
    <w:rsid w:val="00CD446C"/>
    <w:rsid w:val="00CD5A0C"/>
    <w:rsid w:val="00CE2B28"/>
    <w:rsid w:val="00CE5FBA"/>
    <w:rsid w:val="00CF15B2"/>
    <w:rsid w:val="00CF31F3"/>
    <w:rsid w:val="00D062B1"/>
    <w:rsid w:val="00D07CE6"/>
    <w:rsid w:val="00D1107A"/>
    <w:rsid w:val="00D114BE"/>
    <w:rsid w:val="00D15313"/>
    <w:rsid w:val="00D177EE"/>
    <w:rsid w:val="00D2052D"/>
    <w:rsid w:val="00D20BA6"/>
    <w:rsid w:val="00D212D3"/>
    <w:rsid w:val="00D25265"/>
    <w:rsid w:val="00D2684F"/>
    <w:rsid w:val="00D313D5"/>
    <w:rsid w:val="00D31B0C"/>
    <w:rsid w:val="00D4785C"/>
    <w:rsid w:val="00D51EF7"/>
    <w:rsid w:val="00D71991"/>
    <w:rsid w:val="00D74BE2"/>
    <w:rsid w:val="00D85ACC"/>
    <w:rsid w:val="00D8642A"/>
    <w:rsid w:val="00D93E4C"/>
    <w:rsid w:val="00DA15FF"/>
    <w:rsid w:val="00DA326E"/>
    <w:rsid w:val="00DA52AC"/>
    <w:rsid w:val="00DA596D"/>
    <w:rsid w:val="00DA64FB"/>
    <w:rsid w:val="00DB58BC"/>
    <w:rsid w:val="00DC3C0A"/>
    <w:rsid w:val="00DC4CAB"/>
    <w:rsid w:val="00DC5645"/>
    <w:rsid w:val="00DD0B30"/>
    <w:rsid w:val="00DD11A1"/>
    <w:rsid w:val="00DD1783"/>
    <w:rsid w:val="00DD64D4"/>
    <w:rsid w:val="00DE1230"/>
    <w:rsid w:val="00DE1515"/>
    <w:rsid w:val="00DE4C37"/>
    <w:rsid w:val="00DE681A"/>
    <w:rsid w:val="00DE78C6"/>
    <w:rsid w:val="00DF462F"/>
    <w:rsid w:val="00DF6747"/>
    <w:rsid w:val="00DF7102"/>
    <w:rsid w:val="00E01844"/>
    <w:rsid w:val="00E0528E"/>
    <w:rsid w:val="00E1339A"/>
    <w:rsid w:val="00E13F43"/>
    <w:rsid w:val="00E14C22"/>
    <w:rsid w:val="00E14DBE"/>
    <w:rsid w:val="00E15BEA"/>
    <w:rsid w:val="00E211F4"/>
    <w:rsid w:val="00E21897"/>
    <w:rsid w:val="00E40790"/>
    <w:rsid w:val="00E43BFA"/>
    <w:rsid w:val="00E44C94"/>
    <w:rsid w:val="00E50085"/>
    <w:rsid w:val="00E52506"/>
    <w:rsid w:val="00E53003"/>
    <w:rsid w:val="00E557CC"/>
    <w:rsid w:val="00E5586E"/>
    <w:rsid w:val="00E63678"/>
    <w:rsid w:val="00E65598"/>
    <w:rsid w:val="00E70154"/>
    <w:rsid w:val="00E76F8B"/>
    <w:rsid w:val="00E77796"/>
    <w:rsid w:val="00E77DBD"/>
    <w:rsid w:val="00E902BB"/>
    <w:rsid w:val="00E9181C"/>
    <w:rsid w:val="00E9771E"/>
    <w:rsid w:val="00EA0348"/>
    <w:rsid w:val="00EA562E"/>
    <w:rsid w:val="00EA64E4"/>
    <w:rsid w:val="00EB6F6C"/>
    <w:rsid w:val="00EC29C1"/>
    <w:rsid w:val="00ED3891"/>
    <w:rsid w:val="00ED573E"/>
    <w:rsid w:val="00ED60F2"/>
    <w:rsid w:val="00ED6B89"/>
    <w:rsid w:val="00ED79FD"/>
    <w:rsid w:val="00EE4D6C"/>
    <w:rsid w:val="00EE6044"/>
    <w:rsid w:val="00EE6F1D"/>
    <w:rsid w:val="00EF13A9"/>
    <w:rsid w:val="00EF6284"/>
    <w:rsid w:val="00EF64E2"/>
    <w:rsid w:val="00F05293"/>
    <w:rsid w:val="00F1100D"/>
    <w:rsid w:val="00F11BA3"/>
    <w:rsid w:val="00F14930"/>
    <w:rsid w:val="00F1500D"/>
    <w:rsid w:val="00F309BB"/>
    <w:rsid w:val="00F31399"/>
    <w:rsid w:val="00F334D1"/>
    <w:rsid w:val="00F42A6A"/>
    <w:rsid w:val="00F45D67"/>
    <w:rsid w:val="00F5286D"/>
    <w:rsid w:val="00F65AFD"/>
    <w:rsid w:val="00F84343"/>
    <w:rsid w:val="00F8671A"/>
    <w:rsid w:val="00F86A9A"/>
    <w:rsid w:val="00F902C8"/>
    <w:rsid w:val="00F90477"/>
    <w:rsid w:val="00F91583"/>
    <w:rsid w:val="00FA5D63"/>
    <w:rsid w:val="00FA7C47"/>
    <w:rsid w:val="00FB2959"/>
    <w:rsid w:val="00FC397E"/>
    <w:rsid w:val="00FD3FDA"/>
    <w:rsid w:val="00FE02A2"/>
    <w:rsid w:val="00FE3282"/>
    <w:rsid w:val="00FE3BD8"/>
    <w:rsid w:val="00FE43B5"/>
    <w:rsid w:val="00FE643A"/>
    <w:rsid w:val="00FF4104"/>
    <w:rsid w:val="00FF43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42E54"/>
  <w15:docId w15:val="{57A163C5-AFA1-4BAF-8D2A-582BBAEB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51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3">
    <w:name w:val="heading 3"/>
    <w:basedOn w:val="Parasts"/>
    <w:next w:val="Parasts"/>
    <w:link w:val="Virsraksts3Rakstz"/>
    <w:uiPriority w:val="9"/>
    <w:semiHidden/>
    <w:unhideWhenUsed/>
    <w:qFormat/>
    <w:rsid w:val="00FE43B5"/>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link w:val="Virsraksts4Rakstz"/>
    <w:uiPriority w:val="9"/>
    <w:qFormat/>
    <w:rsid w:val="00A3507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customStyle="1" w:styleId="Virsraksts4Rakstz">
    <w:name w:val="Virsraksts 4 Rakstz."/>
    <w:basedOn w:val="Noklusjumarindkopasfonts"/>
    <w:link w:val="Virsraksts4"/>
    <w:uiPriority w:val="9"/>
    <w:rsid w:val="00A35078"/>
    <w:rPr>
      <w:rFonts w:ascii="Times New Roman" w:eastAsia="Times New Roman" w:hAnsi="Times New Roman" w:cs="Times New Roman"/>
      <w:b/>
      <w:bCs/>
      <w:sz w:val="24"/>
      <w:szCs w:val="24"/>
      <w:lang w:eastAsia="lv-LV"/>
    </w:rPr>
  </w:style>
  <w:style w:type="character" w:customStyle="1" w:styleId="Virsraksts1Rakstz">
    <w:name w:val="Virsraksts 1 Rakstz."/>
    <w:basedOn w:val="Noklusjumarindkopasfonts"/>
    <w:link w:val="Virsraksts1"/>
    <w:uiPriority w:val="9"/>
    <w:rsid w:val="00D51EF7"/>
    <w:rPr>
      <w:rFonts w:asciiTheme="majorHAnsi" w:eastAsiaTheme="majorEastAsia" w:hAnsiTheme="majorHAnsi" w:cstheme="majorBidi"/>
      <w:b/>
      <w:bCs/>
      <w:color w:val="365F91" w:themeColor="accent1" w:themeShade="BF"/>
      <w:sz w:val="28"/>
      <w:szCs w:val="28"/>
    </w:rPr>
  </w:style>
  <w:style w:type="character" w:customStyle="1" w:styleId="VPBodyChar">
    <w:name w:val="VP Body Char"/>
    <w:basedOn w:val="Noklusjumarindkopasfonts"/>
    <w:link w:val="VPBody"/>
    <w:locked/>
    <w:rsid w:val="00D51EF7"/>
    <w:rPr>
      <w:rFonts w:ascii="Times New Roman" w:hAnsi="Times New Roman" w:cs="Times New Roman"/>
      <w:bCs/>
      <w:sz w:val="24"/>
    </w:rPr>
  </w:style>
  <w:style w:type="paragraph" w:customStyle="1" w:styleId="VPBody">
    <w:name w:val="VP Body"/>
    <w:basedOn w:val="Parasts"/>
    <w:link w:val="VPBodyChar"/>
    <w:qFormat/>
    <w:rsid w:val="00D51EF7"/>
    <w:pPr>
      <w:tabs>
        <w:tab w:val="left" w:pos="0"/>
      </w:tabs>
      <w:spacing w:before="80" w:after="80" w:line="240" w:lineRule="auto"/>
      <w:jc w:val="both"/>
    </w:pPr>
    <w:rPr>
      <w:rFonts w:ascii="Times New Roman" w:hAnsi="Times New Roman" w:cs="Times New Roman"/>
      <w:bCs/>
      <w:sz w:val="24"/>
    </w:rPr>
  </w:style>
  <w:style w:type="paragraph" w:customStyle="1" w:styleId="BODYTEXTCons">
    <w:name w:val="BODY TEXT Cons"/>
    <w:basedOn w:val="Parasts"/>
    <w:autoRedefine/>
    <w:uiPriority w:val="5"/>
    <w:rsid w:val="006049FE"/>
    <w:pPr>
      <w:spacing w:before="60" w:after="60" w:line="360" w:lineRule="auto"/>
      <w:jc w:val="both"/>
    </w:pPr>
    <w:rPr>
      <w:rFonts w:ascii="Calibri" w:eastAsiaTheme="minorEastAsia" w:hAnsi="Calibri" w:cs="Times New Roman"/>
      <w:sz w:val="20"/>
      <w:szCs w:val="24"/>
    </w:rPr>
  </w:style>
  <w:style w:type="paragraph" w:styleId="Vresteksts">
    <w:name w:val="footnote text"/>
    <w:basedOn w:val="Parasts"/>
    <w:link w:val="VrestekstsRakstz"/>
    <w:uiPriority w:val="99"/>
    <w:unhideWhenUsed/>
    <w:rsid w:val="009C4F26"/>
    <w:pPr>
      <w:spacing w:after="0" w:line="240" w:lineRule="auto"/>
    </w:pPr>
    <w:rPr>
      <w:rFonts w:ascii="Times New Roman" w:hAnsi="Times New Roman" w:cs="Times New Roman"/>
      <w:sz w:val="20"/>
      <w:szCs w:val="20"/>
    </w:rPr>
  </w:style>
  <w:style w:type="character" w:customStyle="1" w:styleId="VrestekstsRakstz">
    <w:name w:val="Vēres teksts Rakstz."/>
    <w:basedOn w:val="Noklusjumarindkopasfonts"/>
    <w:link w:val="Vresteksts"/>
    <w:uiPriority w:val="99"/>
    <w:rsid w:val="009C4F26"/>
    <w:rPr>
      <w:rFonts w:ascii="Times New Roman" w:hAnsi="Times New Roman" w:cs="Times New Roman"/>
      <w:sz w:val="20"/>
      <w:szCs w:val="20"/>
    </w:rPr>
  </w:style>
  <w:style w:type="character" w:styleId="Vresatsauce">
    <w:name w:val="footnote reference"/>
    <w:basedOn w:val="Noklusjumarindkopasfonts"/>
    <w:uiPriority w:val="99"/>
    <w:semiHidden/>
    <w:unhideWhenUsed/>
    <w:rsid w:val="009C4F26"/>
    <w:rPr>
      <w:vertAlign w:val="superscript"/>
    </w:rPr>
  </w:style>
  <w:style w:type="character" w:customStyle="1" w:styleId="Virsraksts3Rakstz">
    <w:name w:val="Virsraksts 3 Rakstz."/>
    <w:basedOn w:val="Noklusjumarindkopasfonts"/>
    <w:link w:val="Virsraksts3"/>
    <w:uiPriority w:val="9"/>
    <w:semiHidden/>
    <w:rsid w:val="00FE43B5"/>
    <w:rPr>
      <w:rFonts w:asciiTheme="majorHAnsi" w:eastAsiaTheme="majorEastAsia" w:hAnsiTheme="majorHAnsi" w:cstheme="majorBidi"/>
      <w:b/>
      <w:bCs/>
      <w:color w:val="4F81BD" w:themeColor="accent1"/>
    </w:rPr>
  </w:style>
  <w:style w:type="character" w:customStyle="1" w:styleId="Neatrisintapieminana1">
    <w:name w:val="Neatrisināta pieminēšana1"/>
    <w:basedOn w:val="Noklusjumarindkopasfonts"/>
    <w:uiPriority w:val="99"/>
    <w:semiHidden/>
    <w:unhideWhenUsed/>
    <w:rsid w:val="003B68EC"/>
    <w:rPr>
      <w:color w:val="605E5C"/>
      <w:shd w:val="clear" w:color="auto" w:fill="E1DFDD"/>
    </w:rPr>
  </w:style>
  <w:style w:type="paragraph" w:customStyle="1" w:styleId="tv213">
    <w:name w:val="tv213"/>
    <w:basedOn w:val="Parasts"/>
    <w:rsid w:val="003F4F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3F4F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5F3C08"/>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FE3282"/>
    <w:pPr>
      <w:spacing w:after="0" w:line="240" w:lineRule="auto"/>
    </w:pPr>
  </w:style>
  <w:style w:type="character" w:styleId="Neatrisintapieminana">
    <w:name w:val="Unresolved Mention"/>
    <w:basedOn w:val="Noklusjumarindkopasfonts"/>
    <w:uiPriority w:val="99"/>
    <w:semiHidden/>
    <w:unhideWhenUsed/>
    <w:rsid w:val="00B255FA"/>
    <w:rPr>
      <w:color w:val="605E5C"/>
      <w:shd w:val="clear" w:color="auto" w:fill="E1DFDD"/>
    </w:rPr>
  </w:style>
  <w:style w:type="paragraph" w:customStyle="1" w:styleId="Default">
    <w:name w:val="Default"/>
    <w:rsid w:val="00CD5A0C"/>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Reatabula">
    <w:name w:val="Table Grid"/>
    <w:basedOn w:val="Parastatabula"/>
    <w:uiPriority w:val="39"/>
    <w:rsid w:val="00C965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Parasts"/>
    <w:rsid w:val="000D1C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Noklusjumarindkopasfonts"/>
    <w:rsid w:val="000D1C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8445">
      <w:bodyDiv w:val="1"/>
      <w:marLeft w:val="0"/>
      <w:marRight w:val="0"/>
      <w:marTop w:val="0"/>
      <w:marBottom w:val="0"/>
      <w:divBdr>
        <w:top w:val="none" w:sz="0" w:space="0" w:color="auto"/>
        <w:left w:val="none" w:sz="0" w:space="0" w:color="auto"/>
        <w:bottom w:val="none" w:sz="0" w:space="0" w:color="auto"/>
        <w:right w:val="none" w:sz="0" w:space="0" w:color="auto"/>
      </w:divBdr>
    </w:div>
    <w:div w:id="124155440">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58624850">
      <w:bodyDiv w:val="1"/>
      <w:marLeft w:val="0"/>
      <w:marRight w:val="0"/>
      <w:marTop w:val="0"/>
      <w:marBottom w:val="0"/>
      <w:divBdr>
        <w:top w:val="none" w:sz="0" w:space="0" w:color="auto"/>
        <w:left w:val="none" w:sz="0" w:space="0" w:color="auto"/>
        <w:bottom w:val="none" w:sz="0" w:space="0" w:color="auto"/>
        <w:right w:val="none" w:sz="0" w:space="0" w:color="auto"/>
      </w:divBdr>
    </w:div>
    <w:div w:id="404570500">
      <w:bodyDiv w:val="1"/>
      <w:marLeft w:val="0"/>
      <w:marRight w:val="0"/>
      <w:marTop w:val="0"/>
      <w:marBottom w:val="0"/>
      <w:divBdr>
        <w:top w:val="none" w:sz="0" w:space="0" w:color="auto"/>
        <w:left w:val="none" w:sz="0" w:space="0" w:color="auto"/>
        <w:bottom w:val="none" w:sz="0" w:space="0" w:color="auto"/>
        <w:right w:val="none" w:sz="0" w:space="0" w:color="auto"/>
      </w:divBdr>
    </w:div>
    <w:div w:id="464934357">
      <w:bodyDiv w:val="1"/>
      <w:marLeft w:val="0"/>
      <w:marRight w:val="0"/>
      <w:marTop w:val="0"/>
      <w:marBottom w:val="0"/>
      <w:divBdr>
        <w:top w:val="none" w:sz="0" w:space="0" w:color="auto"/>
        <w:left w:val="none" w:sz="0" w:space="0" w:color="auto"/>
        <w:bottom w:val="none" w:sz="0" w:space="0" w:color="auto"/>
        <w:right w:val="none" w:sz="0" w:space="0" w:color="auto"/>
      </w:divBdr>
    </w:div>
    <w:div w:id="480119485">
      <w:bodyDiv w:val="1"/>
      <w:marLeft w:val="0"/>
      <w:marRight w:val="0"/>
      <w:marTop w:val="0"/>
      <w:marBottom w:val="0"/>
      <w:divBdr>
        <w:top w:val="none" w:sz="0" w:space="0" w:color="auto"/>
        <w:left w:val="none" w:sz="0" w:space="0" w:color="auto"/>
        <w:bottom w:val="none" w:sz="0" w:space="0" w:color="auto"/>
        <w:right w:val="none" w:sz="0" w:space="0" w:color="auto"/>
      </w:divBdr>
    </w:div>
    <w:div w:id="511575972">
      <w:bodyDiv w:val="1"/>
      <w:marLeft w:val="0"/>
      <w:marRight w:val="0"/>
      <w:marTop w:val="0"/>
      <w:marBottom w:val="0"/>
      <w:divBdr>
        <w:top w:val="none" w:sz="0" w:space="0" w:color="auto"/>
        <w:left w:val="none" w:sz="0" w:space="0" w:color="auto"/>
        <w:bottom w:val="none" w:sz="0" w:space="0" w:color="auto"/>
        <w:right w:val="none" w:sz="0" w:space="0" w:color="auto"/>
      </w:divBdr>
    </w:div>
    <w:div w:id="540941140">
      <w:bodyDiv w:val="1"/>
      <w:marLeft w:val="0"/>
      <w:marRight w:val="0"/>
      <w:marTop w:val="0"/>
      <w:marBottom w:val="0"/>
      <w:divBdr>
        <w:top w:val="none" w:sz="0" w:space="0" w:color="auto"/>
        <w:left w:val="none" w:sz="0" w:space="0" w:color="auto"/>
        <w:bottom w:val="none" w:sz="0" w:space="0" w:color="auto"/>
        <w:right w:val="none" w:sz="0" w:space="0" w:color="auto"/>
      </w:divBdr>
    </w:div>
    <w:div w:id="636223754">
      <w:bodyDiv w:val="1"/>
      <w:marLeft w:val="0"/>
      <w:marRight w:val="0"/>
      <w:marTop w:val="0"/>
      <w:marBottom w:val="0"/>
      <w:divBdr>
        <w:top w:val="none" w:sz="0" w:space="0" w:color="auto"/>
        <w:left w:val="none" w:sz="0" w:space="0" w:color="auto"/>
        <w:bottom w:val="none" w:sz="0" w:space="0" w:color="auto"/>
        <w:right w:val="none" w:sz="0" w:space="0" w:color="auto"/>
      </w:divBdr>
    </w:div>
    <w:div w:id="770468894">
      <w:bodyDiv w:val="1"/>
      <w:marLeft w:val="0"/>
      <w:marRight w:val="0"/>
      <w:marTop w:val="0"/>
      <w:marBottom w:val="0"/>
      <w:divBdr>
        <w:top w:val="none" w:sz="0" w:space="0" w:color="auto"/>
        <w:left w:val="none" w:sz="0" w:space="0" w:color="auto"/>
        <w:bottom w:val="none" w:sz="0" w:space="0" w:color="auto"/>
        <w:right w:val="none" w:sz="0" w:space="0" w:color="auto"/>
      </w:divBdr>
    </w:div>
    <w:div w:id="801729946">
      <w:bodyDiv w:val="1"/>
      <w:marLeft w:val="0"/>
      <w:marRight w:val="0"/>
      <w:marTop w:val="0"/>
      <w:marBottom w:val="0"/>
      <w:divBdr>
        <w:top w:val="none" w:sz="0" w:space="0" w:color="auto"/>
        <w:left w:val="none" w:sz="0" w:space="0" w:color="auto"/>
        <w:bottom w:val="none" w:sz="0" w:space="0" w:color="auto"/>
        <w:right w:val="none" w:sz="0" w:space="0" w:color="auto"/>
      </w:divBdr>
    </w:div>
    <w:div w:id="803235943">
      <w:bodyDiv w:val="1"/>
      <w:marLeft w:val="0"/>
      <w:marRight w:val="0"/>
      <w:marTop w:val="0"/>
      <w:marBottom w:val="0"/>
      <w:divBdr>
        <w:top w:val="none" w:sz="0" w:space="0" w:color="auto"/>
        <w:left w:val="none" w:sz="0" w:space="0" w:color="auto"/>
        <w:bottom w:val="none" w:sz="0" w:space="0" w:color="auto"/>
        <w:right w:val="none" w:sz="0" w:space="0" w:color="auto"/>
      </w:divBdr>
    </w:div>
    <w:div w:id="814882176">
      <w:bodyDiv w:val="1"/>
      <w:marLeft w:val="0"/>
      <w:marRight w:val="0"/>
      <w:marTop w:val="0"/>
      <w:marBottom w:val="0"/>
      <w:divBdr>
        <w:top w:val="none" w:sz="0" w:space="0" w:color="auto"/>
        <w:left w:val="none" w:sz="0" w:space="0" w:color="auto"/>
        <w:bottom w:val="none" w:sz="0" w:space="0" w:color="auto"/>
        <w:right w:val="none" w:sz="0" w:space="0" w:color="auto"/>
      </w:divBdr>
    </w:div>
    <w:div w:id="1312178487">
      <w:bodyDiv w:val="1"/>
      <w:marLeft w:val="0"/>
      <w:marRight w:val="0"/>
      <w:marTop w:val="0"/>
      <w:marBottom w:val="0"/>
      <w:divBdr>
        <w:top w:val="none" w:sz="0" w:space="0" w:color="auto"/>
        <w:left w:val="none" w:sz="0" w:space="0" w:color="auto"/>
        <w:bottom w:val="none" w:sz="0" w:space="0" w:color="auto"/>
        <w:right w:val="none" w:sz="0" w:space="0" w:color="auto"/>
      </w:divBdr>
    </w:div>
    <w:div w:id="1378971545">
      <w:bodyDiv w:val="1"/>
      <w:marLeft w:val="0"/>
      <w:marRight w:val="0"/>
      <w:marTop w:val="0"/>
      <w:marBottom w:val="0"/>
      <w:divBdr>
        <w:top w:val="none" w:sz="0" w:space="0" w:color="auto"/>
        <w:left w:val="none" w:sz="0" w:space="0" w:color="auto"/>
        <w:bottom w:val="none" w:sz="0" w:space="0" w:color="auto"/>
        <w:right w:val="none" w:sz="0" w:space="0" w:color="auto"/>
      </w:divBdr>
    </w:div>
    <w:div w:id="1400909350">
      <w:bodyDiv w:val="1"/>
      <w:marLeft w:val="0"/>
      <w:marRight w:val="0"/>
      <w:marTop w:val="0"/>
      <w:marBottom w:val="0"/>
      <w:divBdr>
        <w:top w:val="none" w:sz="0" w:space="0" w:color="auto"/>
        <w:left w:val="none" w:sz="0" w:space="0" w:color="auto"/>
        <w:bottom w:val="none" w:sz="0" w:space="0" w:color="auto"/>
        <w:right w:val="none" w:sz="0" w:space="0" w:color="auto"/>
      </w:divBdr>
    </w:div>
    <w:div w:id="1413313101">
      <w:bodyDiv w:val="1"/>
      <w:marLeft w:val="0"/>
      <w:marRight w:val="0"/>
      <w:marTop w:val="0"/>
      <w:marBottom w:val="0"/>
      <w:divBdr>
        <w:top w:val="none" w:sz="0" w:space="0" w:color="auto"/>
        <w:left w:val="none" w:sz="0" w:space="0" w:color="auto"/>
        <w:bottom w:val="none" w:sz="0" w:space="0" w:color="auto"/>
        <w:right w:val="none" w:sz="0" w:space="0" w:color="auto"/>
      </w:divBdr>
    </w:div>
    <w:div w:id="1503666106">
      <w:bodyDiv w:val="1"/>
      <w:marLeft w:val="0"/>
      <w:marRight w:val="0"/>
      <w:marTop w:val="0"/>
      <w:marBottom w:val="0"/>
      <w:divBdr>
        <w:top w:val="none" w:sz="0" w:space="0" w:color="auto"/>
        <w:left w:val="none" w:sz="0" w:space="0" w:color="auto"/>
        <w:bottom w:val="none" w:sz="0" w:space="0" w:color="auto"/>
        <w:right w:val="none" w:sz="0" w:space="0" w:color="auto"/>
      </w:divBdr>
    </w:div>
    <w:div w:id="1553926373">
      <w:bodyDiv w:val="1"/>
      <w:marLeft w:val="0"/>
      <w:marRight w:val="0"/>
      <w:marTop w:val="0"/>
      <w:marBottom w:val="0"/>
      <w:divBdr>
        <w:top w:val="none" w:sz="0" w:space="0" w:color="auto"/>
        <w:left w:val="none" w:sz="0" w:space="0" w:color="auto"/>
        <w:bottom w:val="none" w:sz="0" w:space="0" w:color="auto"/>
        <w:right w:val="none" w:sz="0" w:space="0" w:color="auto"/>
      </w:divBdr>
    </w:div>
    <w:div w:id="1603761838">
      <w:bodyDiv w:val="1"/>
      <w:marLeft w:val="0"/>
      <w:marRight w:val="0"/>
      <w:marTop w:val="0"/>
      <w:marBottom w:val="0"/>
      <w:divBdr>
        <w:top w:val="none" w:sz="0" w:space="0" w:color="auto"/>
        <w:left w:val="none" w:sz="0" w:space="0" w:color="auto"/>
        <w:bottom w:val="none" w:sz="0" w:space="0" w:color="auto"/>
        <w:right w:val="none" w:sz="0" w:space="0" w:color="auto"/>
      </w:divBdr>
    </w:div>
    <w:div w:id="1628243733">
      <w:bodyDiv w:val="1"/>
      <w:marLeft w:val="0"/>
      <w:marRight w:val="0"/>
      <w:marTop w:val="0"/>
      <w:marBottom w:val="0"/>
      <w:divBdr>
        <w:top w:val="none" w:sz="0" w:space="0" w:color="auto"/>
        <w:left w:val="none" w:sz="0" w:space="0" w:color="auto"/>
        <w:bottom w:val="none" w:sz="0" w:space="0" w:color="auto"/>
        <w:right w:val="none" w:sz="0" w:space="0" w:color="auto"/>
      </w:divBdr>
    </w:div>
    <w:div w:id="1663312312">
      <w:bodyDiv w:val="1"/>
      <w:marLeft w:val="0"/>
      <w:marRight w:val="0"/>
      <w:marTop w:val="0"/>
      <w:marBottom w:val="0"/>
      <w:divBdr>
        <w:top w:val="none" w:sz="0" w:space="0" w:color="auto"/>
        <w:left w:val="none" w:sz="0" w:space="0" w:color="auto"/>
        <w:bottom w:val="none" w:sz="0" w:space="0" w:color="auto"/>
        <w:right w:val="none" w:sz="0" w:space="0" w:color="auto"/>
      </w:divBdr>
    </w:div>
    <w:div w:id="1719553339">
      <w:bodyDiv w:val="1"/>
      <w:marLeft w:val="0"/>
      <w:marRight w:val="0"/>
      <w:marTop w:val="0"/>
      <w:marBottom w:val="0"/>
      <w:divBdr>
        <w:top w:val="none" w:sz="0" w:space="0" w:color="auto"/>
        <w:left w:val="none" w:sz="0" w:space="0" w:color="auto"/>
        <w:bottom w:val="none" w:sz="0" w:space="0" w:color="auto"/>
        <w:right w:val="none" w:sz="0" w:space="0" w:color="auto"/>
      </w:divBdr>
    </w:div>
    <w:div w:id="1772816313">
      <w:bodyDiv w:val="1"/>
      <w:marLeft w:val="0"/>
      <w:marRight w:val="0"/>
      <w:marTop w:val="0"/>
      <w:marBottom w:val="0"/>
      <w:divBdr>
        <w:top w:val="none" w:sz="0" w:space="0" w:color="auto"/>
        <w:left w:val="none" w:sz="0" w:space="0" w:color="auto"/>
        <w:bottom w:val="none" w:sz="0" w:space="0" w:color="auto"/>
        <w:right w:val="none" w:sz="0" w:space="0" w:color="auto"/>
      </w:divBdr>
    </w:div>
    <w:div w:id="1811482633">
      <w:bodyDiv w:val="1"/>
      <w:marLeft w:val="0"/>
      <w:marRight w:val="0"/>
      <w:marTop w:val="0"/>
      <w:marBottom w:val="0"/>
      <w:divBdr>
        <w:top w:val="none" w:sz="0" w:space="0" w:color="auto"/>
        <w:left w:val="none" w:sz="0" w:space="0" w:color="auto"/>
        <w:bottom w:val="none" w:sz="0" w:space="0" w:color="auto"/>
        <w:right w:val="none" w:sz="0" w:space="0" w:color="auto"/>
      </w:divBdr>
      <w:divsChild>
        <w:div w:id="499006968">
          <w:marLeft w:val="0"/>
          <w:marRight w:val="0"/>
          <w:marTop w:val="0"/>
          <w:marBottom w:val="0"/>
          <w:divBdr>
            <w:top w:val="none" w:sz="0" w:space="0" w:color="auto"/>
            <w:left w:val="none" w:sz="0" w:space="0" w:color="auto"/>
            <w:bottom w:val="none" w:sz="0" w:space="0" w:color="auto"/>
            <w:right w:val="none" w:sz="0" w:space="0" w:color="auto"/>
          </w:divBdr>
          <w:divsChild>
            <w:div w:id="1391811184">
              <w:marLeft w:val="0"/>
              <w:marRight w:val="0"/>
              <w:marTop w:val="0"/>
              <w:marBottom w:val="0"/>
              <w:divBdr>
                <w:top w:val="none" w:sz="0" w:space="0" w:color="auto"/>
                <w:left w:val="none" w:sz="0" w:space="0" w:color="auto"/>
                <w:bottom w:val="none" w:sz="0" w:space="0" w:color="auto"/>
                <w:right w:val="none" w:sz="0" w:space="0" w:color="auto"/>
              </w:divBdr>
              <w:divsChild>
                <w:div w:id="1620528706">
                  <w:marLeft w:val="0"/>
                  <w:marRight w:val="0"/>
                  <w:marTop w:val="0"/>
                  <w:marBottom w:val="0"/>
                  <w:divBdr>
                    <w:top w:val="none" w:sz="0" w:space="0" w:color="auto"/>
                    <w:left w:val="none" w:sz="0" w:space="0" w:color="auto"/>
                    <w:bottom w:val="none" w:sz="0" w:space="0" w:color="auto"/>
                    <w:right w:val="none" w:sz="0" w:space="0" w:color="auto"/>
                  </w:divBdr>
                  <w:divsChild>
                    <w:div w:id="796685239">
                      <w:marLeft w:val="0"/>
                      <w:marRight w:val="0"/>
                      <w:marTop w:val="0"/>
                      <w:marBottom w:val="0"/>
                      <w:divBdr>
                        <w:top w:val="none" w:sz="0" w:space="0" w:color="auto"/>
                        <w:left w:val="none" w:sz="0" w:space="0" w:color="auto"/>
                        <w:bottom w:val="none" w:sz="0" w:space="0" w:color="auto"/>
                        <w:right w:val="none" w:sz="0" w:space="0" w:color="auto"/>
                      </w:divBdr>
                      <w:divsChild>
                        <w:div w:id="33314847">
                          <w:marLeft w:val="0"/>
                          <w:marRight w:val="0"/>
                          <w:marTop w:val="0"/>
                          <w:marBottom w:val="0"/>
                          <w:divBdr>
                            <w:top w:val="none" w:sz="0" w:space="0" w:color="auto"/>
                            <w:left w:val="none" w:sz="0" w:space="0" w:color="auto"/>
                            <w:bottom w:val="none" w:sz="0" w:space="0" w:color="auto"/>
                            <w:right w:val="none" w:sz="0" w:space="0" w:color="auto"/>
                          </w:divBdr>
                          <w:divsChild>
                            <w:div w:id="17420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098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Sabine.Svike@t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RegData/etudes/etudes/join/2012/462470/IPOL-JURI_ET(2012)462470_EN.pdf" TargetMode="External"/><Relationship Id="rId2" Type="http://schemas.openxmlformats.org/officeDocument/2006/relationships/hyperlink" Target="http://titania.saeima.lv/LIVS/SaeimaLIVS.nsf/0/3A28E1852864ABF5C225763B0033C63A?OpenDocument" TargetMode="External"/><Relationship Id="rId1" Type="http://schemas.openxmlformats.org/officeDocument/2006/relationships/hyperlink" Target="https://likumi.lv/ta/id/90971-latvijas-kriminalprocesa-kodekss" TargetMode="External"/><Relationship Id="rId4" Type="http://schemas.openxmlformats.org/officeDocument/2006/relationships/hyperlink" Target="https://likumi.lv/wwwraksti/LIKUMI/PAPILDINATAS_ANOTACIJAS/TM_PAPILD_ANOT_427_LP13_15062020.DOCX"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831EE-3A85-48AF-945A-DFFB5300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47</Pages>
  <Words>17948</Words>
  <Characters>102304</Characters>
  <Application>Microsoft Office Word</Application>
  <DocSecurity>0</DocSecurity>
  <Lines>852</Lines>
  <Paragraphs>240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Kriminālporcesa likumā" sākotnējās ietekmes novērtējuma ziņojums (anotācija)</vt:lpstr>
      <vt:lpstr>Likumprojekta "Grozījumi Kriminālporcesa likumā" sākotnējās ietekmes novērtējuma ziņojums (anotācija)</vt:lpstr>
    </vt:vector>
  </TitlesOfParts>
  <Company>Tieslietu ministrija</Company>
  <LinksUpToDate>false</LinksUpToDate>
  <CharactersWithSpaces>120012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Kriminālporcesa likumā" sākotnējās ietekmes novērtējuma ziņojums (anotācija)</dc:title>
  <dc:subject>Anotācija</dc:subject>
  <dc:creator>Ilona Sabīne Sviķe</dc:creator>
  <dc:description>Ilona-Sabine.Svike@TM.gov.lv; 67036924</dc:description>
  <cp:lastModifiedBy>Sabīne Sviķe</cp:lastModifiedBy>
  <cp:revision>13</cp:revision>
  <cp:lastPrinted>2020-10-07T12:54:00Z</cp:lastPrinted>
  <dcterms:created xsi:type="dcterms:W3CDTF">2021-07-28T07:46:00Z</dcterms:created>
  <dcterms:modified xsi:type="dcterms:W3CDTF">2021-08-04T08:26:00Z</dcterms:modified>
</cp:coreProperties>
</file>