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3C07" w14:textId="77777777" w:rsidR="004D15A9" w:rsidRPr="002D5CE3" w:rsidRDefault="00936F54" w:rsidP="0003507E">
      <w:pPr>
        <w:pStyle w:val="Bezatstarpm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2D5C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 w:eastAsia="lv-LV"/>
        </w:rPr>
        <w:t>Ministru kabineta noteikumu projekta "</w:t>
      </w:r>
      <w:r w:rsidR="0017241E" w:rsidRPr="0017241E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Rīcības kodeksa pārraudzības institūcijas licencēšanas noteikumi</w:t>
      </w:r>
      <w:r w:rsidRPr="002D5CE3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" </w:t>
      </w:r>
      <w:r w:rsidRPr="002D5C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 w:eastAsia="lv-LV"/>
        </w:rPr>
        <w:t>sākotnējās ietekmes novērtējuma ziņojums (anotācija)</w:t>
      </w:r>
    </w:p>
    <w:p w14:paraId="60F1AABD" w14:textId="77777777" w:rsidR="00A1552F" w:rsidRPr="00E53DC4" w:rsidRDefault="00A1552F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231"/>
      </w:tblGrid>
      <w:tr w:rsidR="00E53DC4" w:rsidRPr="00E53DC4" w14:paraId="755BC4F8" w14:textId="77777777" w:rsidTr="00A1552F">
        <w:trPr>
          <w:cantSplit/>
        </w:trPr>
        <w:tc>
          <w:tcPr>
            <w:tcW w:w="9061" w:type="dxa"/>
            <w:gridSpan w:val="2"/>
            <w:shd w:val="clear" w:color="auto" w:fill="FFFFFF"/>
            <w:vAlign w:val="center"/>
            <w:hideMark/>
          </w:tcPr>
          <w:p w14:paraId="322FF877" w14:textId="77777777" w:rsidR="00A1552F" w:rsidRPr="00E53DC4" w:rsidRDefault="00A1552F" w:rsidP="00A1552F">
            <w:pPr>
              <w:spacing w:after="0" w:line="240" w:lineRule="auto"/>
              <w:ind w:firstLine="30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E53DC4" w:rsidRPr="00E53DC4" w14:paraId="1B8F57D8" w14:textId="77777777" w:rsidTr="00E9181C">
        <w:trPr>
          <w:cantSplit/>
        </w:trPr>
        <w:tc>
          <w:tcPr>
            <w:tcW w:w="2830" w:type="dxa"/>
            <w:shd w:val="clear" w:color="auto" w:fill="FFFFFF"/>
            <w:hideMark/>
          </w:tcPr>
          <w:p w14:paraId="5CA052D5" w14:textId="77777777" w:rsidR="00A1552F" w:rsidRPr="00E53DC4" w:rsidRDefault="00A1552F" w:rsidP="004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6231" w:type="dxa"/>
            <w:shd w:val="clear" w:color="auto" w:fill="FFFFFF"/>
            <w:hideMark/>
          </w:tcPr>
          <w:p w14:paraId="0D968F39" w14:textId="1602B788" w:rsidR="009045DF" w:rsidRPr="009045DF" w:rsidRDefault="009045DF" w:rsidP="00E543B2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noteikumu projekta “Rīcības kodeksa pārraudzības institūcijas licencēšanas noteikumi” (turpmāk – Noteikumu projekts) mērķis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noteikt prasības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rīcības kodeksa pārraudzības institūc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0119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pārraudzības institūcija)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licences saņemšanai,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licences izsniegšanas, apturēšanas</w:t>
            </w:r>
            <w:r w:rsidR="00B71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apturētas licences atjaunošanas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anulēšanas kārtību un gadījumus, kā arī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kārtību, kādā maksājama valsts nodeva par licences izsniegšanu un valsts nodevas apmērs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4012904" w14:textId="77777777" w:rsidR="009045DF" w:rsidRPr="00BC0E70" w:rsidRDefault="009045DF" w:rsidP="009045DF">
            <w:pPr>
              <w:spacing w:after="0" w:line="240" w:lineRule="auto"/>
              <w:ind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stājas spēkā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janvārī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12FBABDA" w14:textId="77777777" w:rsidTr="00E9181C">
        <w:trPr>
          <w:cantSplit/>
        </w:trPr>
        <w:tc>
          <w:tcPr>
            <w:tcW w:w="2830" w:type="dxa"/>
            <w:shd w:val="clear" w:color="auto" w:fill="FFFFFF"/>
          </w:tcPr>
          <w:p w14:paraId="6529C7B1" w14:textId="77777777" w:rsidR="004E16EC" w:rsidRPr="00E53DC4" w:rsidRDefault="004E16EC" w:rsidP="004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31" w:type="dxa"/>
            <w:shd w:val="clear" w:color="auto" w:fill="FFFFFF"/>
          </w:tcPr>
          <w:p w14:paraId="0EDEC36B" w14:textId="77777777" w:rsidR="004E16EC" w:rsidRPr="00E53DC4" w:rsidRDefault="004E16EC" w:rsidP="0023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5BFC84B7" w14:textId="77777777" w:rsidR="00A1552F" w:rsidRPr="00E53DC4" w:rsidRDefault="00A1552F" w:rsidP="006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9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1903"/>
        <w:gridCol w:w="161"/>
        <w:gridCol w:w="836"/>
        <w:gridCol w:w="991"/>
        <w:gridCol w:w="851"/>
        <w:gridCol w:w="992"/>
        <w:gridCol w:w="849"/>
        <w:gridCol w:w="992"/>
        <w:gridCol w:w="1132"/>
      </w:tblGrid>
      <w:tr w:rsidR="00E53DC4" w:rsidRPr="00E53DC4" w14:paraId="150A16A5" w14:textId="77777777" w:rsidTr="00C94046">
        <w:trPr>
          <w:trHeight w:val="405"/>
        </w:trPr>
        <w:tc>
          <w:tcPr>
            <w:tcW w:w="500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7C3501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E53DC4" w:rsidRPr="00E53DC4" w14:paraId="33955B5C" w14:textId="77777777" w:rsidTr="00C94046">
        <w:trPr>
          <w:trHeight w:val="40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138305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963C4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  <w:p w14:paraId="20946AA2" w14:textId="77777777" w:rsidR="00236347" w:rsidRPr="00E53DC4" w:rsidRDefault="00236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B8AB6" w14:textId="77777777" w:rsidR="004D15A9" w:rsidRPr="00003F41" w:rsidRDefault="0082499F" w:rsidP="00003F41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Noteikumu projekts ir izstrādāts 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atbilstoši</w:t>
            </w:r>
            <w:r w:rsidR="009045DF">
              <w:t xml:space="preserve"> </w:t>
            </w:r>
            <w:r w:rsidR="009045DF" w:rsidRPr="00904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Fizisko personu datu apstrādes likum</w:t>
            </w:r>
            <w:r w:rsidR="00904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22.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panta otr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ajai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treš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ajai daļai.</w:t>
            </w:r>
          </w:p>
        </w:tc>
      </w:tr>
      <w:tr w:rsidR="00E53DC4" w:rsidRPr="00E53DC4" w14:paraId="5D4BC437" w14:textId="77777777" w:rsidTr="00C94046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E99FD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C62FE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28F5E9" w14:textId="1D1D9B31" w:rsidR="00E03280" w:rsidRDefault="00A15A15" w:rsidP="00BC0E70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Eiropas Parlamenta un Padomes 2016. gada 27. aprīļa regula (ES) 2016/679 par fizisku personu aizsardzību attiecībā uz personas datu apstrādi un šādu datu brīvu apriti un ar ko atceļ Direktīvu 95/46/EK (</w:t>
            </w:r>
            <w:r w:rsidR="00B11E9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Vispārīgā datu aizsardzības regula, </w:t>
            </w: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turpmāk – </w:t>
            </w:r>
            <w:r w:rsidR="00B11E9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 regula</w:t>
            </w: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41.panta 1.punkts nosaka, ka</w:t>
            </w:r>
            <w:r w:rsidR="00E16942" w:rsidRP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rīcības kodeksa ievērošanas pārraudzību saskaņā ar 40. pantu var veikt struktūra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AC5B51" w:rsidRP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(turpmāk</w:t>
            </w:r>
            <w:r w:rsidR="00DD3C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arī</w:t>
            </w:r>
            <w:r w:rsidR="00AC5B51" w:rsidRP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pārraudzības institūcija)</w:t>
            </w:r>
            <w:r w:rsidR="00E16942" w:rsidRP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kura pienācīgi pārzina kodeksa tematiku un kuru minētajam nolūkam ir akreditējusi kompetentā uzraudzības iestāde.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Lai 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pārraudzības institūciju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akreditētu, tai ir jāatbilst datu regulas 41. panta 2. punkta prasībām un </w:t>
            </w:r>
            <w:r w:rsidR="00B42820" w:rsidRP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41. panta 3. punkta kārtībā apstiprinātajiem kritērijiem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Proti</w:t>
            </w:r>
            <w:r w:rsidR="000050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noteikts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0050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ka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Datu valsts inspekcija </w:t>
            </w:r>
            <w:r w:rsidR="003033D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(turpmāk – Inspekcija)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kā kompetentā uzraudzības iestāde konkrēta rīcības kodeksa pārraudzībai var akreditēt 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pārraudzības institūciju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 tā atbilst noteiktām prasībām un kritērijiem.</w:t>
            </w:r>
          </w:p>
          <w:p w14:paraId="496E8D36" w14:textId="004229B8" w:rsidR="003B3260" w:rsidRPr="00E53DC4" w:rsidRDefault="00B42820" w:rsidP="00005006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Regulas tiešās piemērošanas ietvaros Latvijas Republikā ir pieņemts un no 2018. gada 5. jūlija ir stājies spēkā Fizisko personu datu apstrādes likums</w:t>
            </w:r>
            <w:r w:rsidR="003033DE">
              <w:rPr>
                <w:rFonts w:ascii="Times New Roman" w:hAnsi="Times New Roman" w:cs="Times New Roman"/>
                <w:sz w:val="24"/>
                <w:szCs w:val="24"/>
              </w:rPr>
              <w:t xml:space="preserve"> (turpmāk – Likums)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kura 22. panta pirmajā daļā ir noteikts, ka </w:t>
            </w:r>
            <w:r w:rsidR="00646CC0" w:rsidRPr="00646CC0">
              <w:rPr>
                <w:rFonts w:ascii="Times New Roman" w:hAnsi="Times New Roman" w:cs="Times New Roman"/>
                <w:sz w:val="24"/>
                <w:szCs w:val="24"/>
              </w:rPr>
              <w:t>Inspekcija saskaņā ar datu regulas 41. panta 1.</w:t>
            </w:r>
            <w:r w:rsidR="003033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6CC0" w:rsidRPr="00646CC0">
              <w:rPr>
                <w:rFonts w:ascii="Times New Roman" w:hAnsi="Times New Roman" w:cs="Times New Roman"/>
                <w:sz w:val="24"/>
                <w:szCs w:val="24"/>
              </w:rPr>
              <w:t>punktu uz pieciem gadiem izsniedz licenci pārraudzības institūcijai, kura pienācīgi pārzina rīcības kodeksa tematiku un pārrauga kodeksa izpildi.</w:t>
            </w:r>
            <w:r w:rsidR="00BC6A5E" w:rsidRPr="00643163">
              <w:rPr>
                <w:rFonts w:ascii="Times New Roman" w:hAnsi="Times New Roman" w:cs="Times New Roman"/>
                <w:sz w:val="24"/>
                <w:szCs w:val="24"/>
              </w:rPr>
              <w:t xml:space="preserve"> Savukārt minētā panta otrajā un trešajā daļā ir ietverts pilnvarojums M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>inistru kabinet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noteikt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 prasības pārraudzības institūcijas licences saņemšanai, licences izsniegšanas, apturēšanas un anulēšanas kārtību un gadījumus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163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>noteikt v</w:t>
            </w:r>
            <w:r w:rsidR="00643163" w:rsidRPr="00BC6A5E">
              <w:rPr>
                <w:rFonts w:ascii="Times New Roman" w:hAnsi="Times New Roman" w:cs="Times New Roman"/>
                <w:sz w:val="24"/>
                <w:szCs w:val="24"/>
              </w:rPr>
              <w:t>alsts nodev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>as apmēru un maksāšanas kārtību.</w:t>
            </w:r>
            <w:r w:rsidR="0000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006">
              <w:rPr>
                <w:rFonts w:ascii="Times New Roman" w:hAnsi="Times New Roman"/>
                <w:sz w:val="24"/>
                <w:szCs w:val="24"/>
              </w:rPr>
              <w:t xml:space="preserve">Ņemot vērā minēto, </w:t>
            </w:r>
            <w:r w:rsidR="003033DE">
              <w:rPr>
                <w:rFonts w:ascii="Times New Roman" w:hAnsi="Times New Roman"/>
                <w:sz w:val="24"/>
                <w:szCs w:val="24"/>
              </w:rPr>
              <w:t>lai Inspekcija atbilstoši Likuma 22.</w:t>
            </w:r>
            <w:r w:rsidR="00906C25">
              <w:rPr>
                <w:rFonts w:ascii="Times New Roman" w:hAnsi="Times New Roman"/>
                <w:sz w:val="24"/>
                <w:szCs w:val="24"/>
              </w:rPr>
              <w:t> 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panta </w:t>
            </w:r>
            <w:r w:rsidR="0020274F">
              <w:rPr>
                <w:rFonts w:ascii="Times New Roman" w:hAnsi="Times New Roman"/>
                <w:sz w:val="24"/>
                <w:szCs w:val="24"/>
              </w:rPr>
              <w:t>pirmajā daļā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 ietvertajam uzdevumam varētu veikt </w:t>
            </w:r>
            <w:r w:rsidR="003033DE" w:rsidRPr="003033DE">
              <w:rPr>
                <w:rFonts w:ascii="Times New Roman" w:hAnsi="Times New Roman"/>
                <w:sz w:val="24"/>
                <w:szCs w:val="24"/>
              </w:rPr>
              <w:t>rīcības kodeksa pārraudzības institūcijas licenc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ēšanu, </w:t>
            </w:r>
            <w:r w:rsidR="001328FE" w:rsidRPr="00E53DC4">
              <w:rPr>
                <w:rFonts w:ascii="Times New Roman" w:hAnsi="Times New Roman" w:cs="Times New Roman"/>
                <w:sz w:val="24"/>
                <w:szCs w:val="24"/>
              </w:rPr>
              <w:t xml:space="preserve">ir izstrādāts </w:t>
            </w:r>
            <w:r w:rsidR="00195F94"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</w:t>
            </w:r>
            <w:r w:rsidR="003B3260" w:rsidRPr="00E5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649494" w14:textId="77777777" w:rsidR="00013CB8" w:rsidRDefault="00D874F4" w:rsidP="00D874F4">
            <w:pPr>
              <w:pStyle w:val="Sarakstarindkopa"/>
              <w:spacing w:after="0" w:line="240" w:lineRule="auto"/>
              <w:ind w:left="16" w:firstLine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01194A" w:rsidRPr="00D874F4">
              <w:rPr>
                <w:rFonts w:ascii="Times New Roman" w:hAnsi="Times New Roman" w:cs="Times New Roman"/>
                <w:b/>
                <w:sz w:val="24"/>
                <w:szCs w:val="24"/>
              </w:rPr>
              <w:t>Prasības pārraudzības institūcijai licences saņemšanai</w:t>
            </w:r>
          </w:p>
          <w:p w14:paraId="312C38D8" w14:textId="08E68CDE" w:rsidR="00F46D5C" w:rsidRPr="00D874F4" w:rsidRDefault="0001194A" w:rsidP="00D874F4">
            <w:pPr>
              <w:pStyle w:val="Sarakstarindkopa"/>
              <w:spacing w:after="0" w:line="240" w:lineRule="auto"/>
              <w:ind w:left="16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F4">
              <w:rPr>
                <w:rFonts w:ascii="Times New Roman" w:hAnsi="Times New Roman" w:cs="Times New Roman"/>
                <w:sz w:val="24"/>
                <w:szCs w:val="24"/>
              </w:rPr>
              <w:t xml:space="preserve">Noteikumu projekta </w:t>
            </w:r>
            <w:r w:rsidR="00815DB2" w:rsidRPr="00D87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6811" w:rsidRPr="00D87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DB2" w:rsidRPr="00D874F4">
              <w:rPr>
                <w:rFonts w:ascii="Times New Roman" w:hAnsi="Times New Roman" w:cs="Times New Roman"/>
                <w:sz w:val="24"/>
                <w:szCs w:val="24"/>
              </w:rPr>
              <w:t>punkts paredz noteikt</w:t>
            </w:r>
            <w:r w:rsidR="00D874F4" w:rsidRPr="00D874F4">
              <w:rPr>
                <w:rFonts w:ascii="Times New Roman" w:hAnsi="Times New Roman" w:cs="Times New Roman"/>
                <w:sz w:val="24"/>
                <w:szCs w:val="24"/>
              </w:rPr>
              <w:t xml:space="preserve">as vairākas pārraudzības institūcijai izvirzāmās prasības licences saņemšanai. </w:t>
            </w:r>
          </w:p>
          <w:p w14:paraId="4829F52C" w14:textId="2C356C08" w:rsidR="00230100" w:rsidRDefault="00906C25" w:rsidP="00A829B5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AC5B51"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 xml:space="preserve">Atbilstoši </w:t>
            </w:r>
            <w:r w:rsidR="00AC5B51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 w:rsidRPr="00527FA0">
              <w:rPr>
                <w:rStyle w:val="a"/>
                <w:rFonts w:ascii="Times New Roman" w:hAnsi="Times New Roman"/>
                <w:sz w:val="24"/>
                <w:szCs w:val="24"/>
              </w:rPr>
              <w:t>atu regulas 41. panta 2.</w:t>
            </w:r>
            <w:r w:rsidR="00527FA0">
              <w:rPr>
                <w:rStyle w:val="a"/>
                <w:rFonts w:ascii="Times New Roman" w:hAnsi="Times New Roman"/>
                <w:sz w:val="24"/>
                <w:szCs w:val="24"/>
              </w:rPr>
              <w:t xml:space="preserve"> punktam pārraudzības institūcijai ir jāatbilst šajā normā norādītajām </w:t>
            </w:r>
            <w:r w:rsidR="009418D7">
              <w:rPr>
                <w:rStyle w:val="a"/>
                <w:rFonts w:ascii="Times New Roman" w:hAnsi="Times New Roman"/>
                <w:sz w:val="24"/>
                <w:szCs w:val="24"/>
              </w:rPr>
              <w:t xml:space="preserve">vispārīgajām </w:t>
            </w:r>
            <w:r w:rsidR="00527FA0">
              <w:rPr>
                <w:rStyle w:val="a"/>
                <w:rFonts w:ascii="Times New Roman" w:hAnsi="Times New Roman"/>
                <w:sz w:val="24"/>
                <w:szCs w:val="24"/>
              </w:rPr>
              <w:t xml:space="preserve">prasībām, kā arī </w:t>
            </w:r>
            <w:r w:rsidR="009418D7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Inspekcijas izstrādātajiem un, ievērojot konsekvences mehānismu, kas aprakstīts datu regulas 63. pantā, </w:t>
            </w:r>
            <w:r w:rsidR="00AC5B51" w:rsidRPr="00AC5B51">
              <w:rPr>
                <w:rStyle w:val="a"/>
                <w:rFonts w:ascii="Times New Roman" w:hAnsi="Times New Roman"/>
                <w:sz w:val="24"/>
                <w:szCs w:val="24"/>
              </w:rPr>
              <w:t>Eir</w:t>
            </w:r>
            <w:r w:rsidR="00AC5B51">
              <w:rPr>
                <w:rStyle w:val="a"/>
                <w:rFonts w:ascii="Times New Roman" w:hAnsi="Times New Roman"/>
                <w:sz w:val="24"/>
                <w:szCs w:val="24"/>
              </w:rPr>
              <w:t>opas Datu aizsardzības kolēģijas apstiprinātiem kritērijiem.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Līdz ar to arī Noteikumu projektā ietverta prasība, ka pārraudzības institūcijai jāizpilda datu regulas 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41. panta 2. punkta prasības un 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>jā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>atbilst 41.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>panta 3. punkta kārtībā apstiprinātajiem kritērijiem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1F8B57FE" w14:textId="2784752C" w:rsidR="00A829B5" w:rsidRDefault="00D874F4" w:rsidP="00A829B5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Saskaņā ar Eiropas Datu aizsardzības kolēģijas 2019.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gada 4.jūnija p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>amatnostādn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ēm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1/2019 at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tiecībā uz rīcības kodeksiem un 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>pārraudzības struktūrām saskaņā ar Regulu (ES) 2016/679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(turpmāk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–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FC5F48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nes)</w:t>
            </w:r>
            <w:r w:rsidR="00F9592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81.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punktu i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erosinātajai pārraudzības struktūrai un s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aistītām pārvaldības struktūrām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ir jābūt formulētām tādā veidā, lai kodeksu izstrādātāji varētu apliecināt, ka pārraudzības</w:t>
            </w:r>
            <w:r w:rsidR="0085418B">
              <w:t xml:space="preserve">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struktūrai ir atbilstošs statuss, lai tā varētu pildīt savus uzdevumus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saskaņā ar 41.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punktu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būtu sodāma 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par šo uzdevumu pārkāpumiem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saskaņā ar 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datu regulas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 83.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punkta c)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apakšpunktu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>. L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 xml:space="preserve">īdz ar to 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Noteikumu projektā 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 xml:space="preserve">ietverta prasība, ka pārraudzības institūcijai </w:t>
            </w:r>
            <w:r w:rsidR="00A829B5" w:rsidRPr="00A829B5">
              <w:rPr>
                <w:rStyle w:val="a"/>
                <w:rFonts w:ascii="Times New Roman" w:hAnsi="Times New Roman"/>
                <w:sz w:val="24"/>
                <w:szCs w:val="24"/>
              </w:rPr>
              <w:t>ir juridiskās personas statuss Latvijas Republikā vai citā Eiropas Savienības vai Eiropas Ekonomikas zonas dalībvalstī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6463021A" w14:textId="77777777" w:rsidR="00C94046" w:rsidRDefault="00013CB8" w:rsidP="00C94046">
            <w:pPr>
              <w:pStyle w:val="Bezatstarpm"/>
              <w:ind w:firstLine="72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Tāpat </w:t>
            </w:r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ņemot vērā pārraudzības institūcijas nozīmīgo lomu rīcības kodeksa pārraudzībā, </w:t>
            </w:r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Inspekcijai </w:t>
            </w:r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ir jāgūst pārliecība, ka </w:t>
            </w:r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</w:t>
            </w:r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spēs pildīt tai uzticētos pienākumus, tā pārzina un ievēro datu apstrādes prasības, kā arī pilda </w:t>
            </w:r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tai ar normatīvajiem aktiem uzliktās saistības</w:t>
            </w:r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Līdz ar to </w:t>
            </w:r>
            <w:r w:rsidR="00E543B2">
              <w:rPr>
                <w:rStyle w:val="a"/>
                <w:rFonts w:ascii="Times New Roman" w:hAnsi="Times New Roman"/>
                <w:sz w:val="24"/>
                <w:szCs w:val="24"/>
              </w:rPr>
              <w:t xml:space="preserve">pārraudzības institūcijai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tiek izvirzītas </w:t>
            </w:r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šādas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vispārīgas prasības</w:t>
            </w:r>
            <w:r w:rsidR="00E543B2" w:rsidRP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licences saņemšanai</w:t>
            </w:r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tai </w:t>
            </w:r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triju gadu laikā nav anulēta izsniegtā licence, izņemot gadījumu, ja licence anulēta pēc pašas pārraudzības institūcijas lūguma</w:t>
            </w:r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; </w:t>
            </w:r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tā pēdējā gada laikā nav sodīta par pārkāpumu fizisko personu datu aizsardzības jomā</w:t>
            </w:r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 </w:t>
            </w:r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tai nav nodokļu parādu (tai skaitā valsts sociālās apdrošināšanas obligāto iemaksu parādu), kuru kopsumma pārsniedz 150 euro.</w:t>
            </w:r>
          </w:p>
          <w:p w14:paraId="7EC033BE" w14:textId="40E32082" w:rsidR="00595516" w:rsidRPr="00595516" w:rsidRDefault="00595516" w:rsidP="00C94046">
            <w:pPr>
              <w:pStyle w:val="Bezatstarpm"/>
              <w:ind w:firstLine="72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lv-LV" w:eastAsia="en-US"/>
              </w:rPr>
            </w:pPr>
            <w:r w:rsidRPr="0059551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lv-LV" w:eastAsia="en-US"/>
              </w:rPr>
              <w:t xml:space="preserve">2. Licences izsniegšana </w:t>
            </w:r>
          </w:p>
          <w:p w14:paraId="2BF8A6A1" w14:textId="1EC4C0C3" w:rsidR="00120060" w:rsidRDefault="00633EEC" w:rsidP="00120060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Noteikuma projekta 4.</w:t>
            </w:r>
            <w:r w:rsidR="004D1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81969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ir noteikts iesniegum</w:t>
            </w:r>
            <w:r w:rsidR="002715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licences saņemšanai </w:t>
            </w:r>
            <w:r w:rsidR="002715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norādāmās ziņas un tai pievienojamie dokumenti. </w:t>
            </w:r>
          </w:p>
          <w:p w14:paraId="4F54EC0E" w14:textId="2E11501D" w:rsidR="005B74A8" w:rsidRDefault="00272726" w:rsidP="0012006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2727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veicinātu dokumentu apriti elektroniski</w:t>
            </w:r>
            <w:r w:rsidR="00224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īstenot</w:t>
            </w:r>
            <w:r w:rsidR="006E5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24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politikas attīstības dokumentos iekļauto virzienu elektronizēt saziņu starp valsts pārvaldi un privāto sektoru</w:t>
            </w:r>
            <w:r w:rsidRPr="002727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tādejādi samazinot izmaksas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Pr="00272726">
              <w:rPr>
                <w:rStyle w:val="a"/>
                <w:rFonts w:ascii="Times New Roman" w:hAnsi="Times New Roman"/>
                <w:sz w:val="24"/>
                <w:szCs w:val="24"/>
              </w:rPr>
              <w:t xml:space="preserve">kas nepieciešamas informācijas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dokumentu </w:t>
            </w:r>
            <w:r w:rsidRPr="00272726">
              <w:rPr>
                <w:rStyle w:val="a"/>
                <w:rFonts w:ascii="Times New Roman" w:hAnsi="Times New Roman"/>
                <w:sz w:val="24"/>
                <w:szCs w:val="24"/>
              </w:rPr>
              <w:t>apmaiņai,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Noteikumu projekts paredz, ka </w:t>
            </w:r>
            <w:r w:rsidR="00120060" w:rsidRPr="00120060">
              <w:rPr>
                <w:rStyle w:val="a"/>
                <w:rFonts w:ascii="Times New Roman" w:hAnsi="Times New Roman"/>
                <w:sz w:val="24"/>
                <w:szCs w:val="24"/>
              </w:rPr>
              <w:t>iesniegum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 w:rsidR="00120060" w:rsidRP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licences saņemšanai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Inspekcijā ir iesniedzams elektroniski, kā arī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savstarpēja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saziņa un lēmumu pieņemšana tiks veikta elektroniski. </w:t>
            </w:r>
            <w:r w:rsidR="00224A19">
              <w:rPr>
                <w:rStyle w:val="a"/>
                <w:rFonts w:ascii="Times New Roman" w:hAnsi="Times New Roman"/>
                <w:sz w:val="24"/>
                <w:szCs w:val="24"/>
              </w:rPr>
              <w:t xml:space="preserve">Elektroniskā saziņa paātrina informācijas apmaiņu, atvieglo vairāku dokumentu iesniegšanu, samazina resursus gan iestādei, gan iesniedzējiem. </w:t>
            </w:r>
          </w:p>
          <w:p w14:paraId="63EC892A" w14:textId="1CC5EEA0" w:rsidR="00120060" w:rsidRDefault="005B74A8" w:rsidP="0012006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Vienīgais izņēmums, kad tiks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nodrošināta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dokumenta sagatavošana un izsniegšana papīra formā</w:t>
            </w:r>
            <w:r w:rsidR="00AD0D76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noteikt</w:t>
            </w:r>
            <w:r w:rsidR="00AD0D76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 j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a pārraudzības institūcija iesniegumā </w:t>
            </w:r>
            <w:r w:rsidR="0033680D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licences saņemšanai 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izteiks vēlmi saņemt licenci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papīra formā</w:t>
            </w:r>
            <w:r w:rsidR="0033680D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602BD7" w14:textId="3F629F87" w:rsidR="00C60A25" w:rsidRDefault="00501F9B" w:rsidP="00FE1BCC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Ņemot vērā pārraudzības institūcijai </w:t>
            </w:r>
            <w:r w:rsidR="004C17F9">
              <w:rPr>
                <w:rStyle w:val="a"/>
                <w:rFonts w:ascii="Times New Roman" w:hAnsi="Times New Roman"/>
                <w:sz w:val="24"/>
                <w:szCs w:val="24"/>
              </w:rPr>
              <w:t xml:space="preserve">datu regulā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izvirzītās prasības un pienākumus, Inspekcija nesaskata pamatu uzskatīt, ka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rasība pārraudzības institūcijai iesniegt Inspekcijā iesniegumu </w:t>
            </w:r>
            <w:r w:rsidR="00C60A25" w:rsidRP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licences saņemšanai 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>elektroniski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varētu radīt 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jebkādas grūtības. Bez tam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tā kā pārraudzības institūcija var būt tikai juridiska persona</w:t>
            </w:r>
            <w:r w:rsidR="00C60A25" w:rsidRPr="00C60A25">
              <w:rPr>
                <w:rStyle w:val="a"/>
                <w:rFonts w:ascii="Times New Roman" w:hAnsi="Times New Roman"/>
                <w:sz w:val="24"/>
                <w:szCs w:val="24"/>
              </w:rPr>
              <w:t>, nav saskatāms arī jebkāds apdraudējums pamattiesī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>bām.</w:t>
            </w:r>
            <w:r w:rsidR="00224A1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 xml:space="preserve">Pienākums  komunicēt ar valsts pārvaldes iestādēm elektroniski jau ir iekļauts citos normatīvajos aktos, piemērām, iesniegt deklarācijas un atskaites </w:t>
            </w:r>
            <w:r w:rsidR="006E5C23">
              <w:rPr>
                <w:rStyle w:val="a"/>
                <w:rFonts w:ascii="Times New Roman" w:hAnsi="Times New Roman"/>
                <w:sz w:val="24"/>
                <w:szCs w:val="24"/>
              </w:rPr>
              <w:t xml:space="preserve">juridiskas personas 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>Valsts ieņēmumu dienestā var tik</w:t>
            </w:r>
            <w:r w:rsidR="00C743B6">
              <w:rPr>
                <w:rStyle w:val="a"/>
                <w:rFonts w:ascii="Times New Roman" w:hAnsi="Times New Roman"/>
                <w:sz w:val="24"/>
                <w:szCs w:val="24"/>
              </w:rPr>
              <w:t>ai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elektroniski. </w:t>
            </w:r>
          </w:p>
          <w:p w14:paraId="33C13ECC" w14:textId="0A1133FD" w:rsidR="000F7F3E" w:rsidRDefault="00772B7D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Saņemot iesniegumu licences saņemšanai, Inspekcija </w:t>
            </w:r>
            <w:r w:rsidR="00B80E07">
              <w:rPr>
                <w:rStyle w:val="a"/>
                <w:rFonts w:ascii="Times New Roman" w:hAnsi="Times New Roman"/>
                <w:sz w:val="24"/>
                <w:szCs w:val="24"/>
              </w:rPr>
              <w:t>desmit darbdienu laikā pārbaudīs vai tajā ir norādītas visas nepieciešamās ziņas un pievienoti dokumenti, nevērtējot to saturu pēc būtības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>. Ja minētajā pārbaudē tiks konstatētas nepilnības vai neprecizitātes, pārraudzības institūcijai tiks dots saprātīgs termiņš trūkumu nov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ēršanai. Savukārt, ja sākotnējā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pārbaud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ē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trūkumi nebūs konstatēti, vai pārraudzības institūcija būs novērsusi norādītos </w:t>
            </w:r>
            <w:r w:rsidR="00FC5F48">
              <w:rPr>
                <w:rStyle w:val="a"/>
                <w:rFonts w:ascii="Times New Roman" w:hAnsi="Times New Roman"/>
                <w:sz w:val="24"/>
                <w:szCs w:val="24"/>
              </w:rPr>
              <w:t>trūkumus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Inspekcija paziņos pārraudzības institūcijai par iesnieguma pieņemšanu. </w:t>
            </w:r>
          </w:p>
          <w:p w14:paraId="4CB77F67" w14:textId="02BBF57E" w:rsidR="00F25A72" w:rsidRDefault="00AD0D76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No p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>aziņojum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par iesnieguma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pieņemšanu nosūtīšanas,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Inspekcija ne vēlāk kā sešu mēnešu laikā pieņems lēmumu par licences izsniegšanu vai par atteikumu izsniegt licenci. Minētais termiņš ir noteikts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ņemot vērā to, 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ka būs nepieciešams veikt apjomīgas informācijas izvērtēšanu, 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apmeklēt pārraudzības institūciju tās darbības vietā, lai pārliecinātos par 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šīs institūcijas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atbilstību datu regulas un Noteikumu projekta prasībām, pieprasīt un saņemt lēmuma pieņemšanai nepieciešamo informāciju no citām iestādēm</w:t>
            </w:r>
            <w:r w:rsidR="009B44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piemēram, no Uzņēmumu reģistra </w:t>
            </w:r>
            <w:r w:rsidR="009B4460" w:rsidRPr="009B4460">
              <w:rPr>
                <w:rStyle w:val="a"/>
                <w:rFonts w:ascii="Times New Roman" w:hAnsi="Times New Roman"/>
                <w:sz w:val="24"/>
                <w:szCs w:val="24"/>
              </w:rPr>
              <w:t>aktuālo informāciju par</w:t>
            </w:r>
            <w:r w:rsidR="009B44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institūcijas tiesisko statusu, juridisko adresi, </w:t>
            </w:r>
            <w:r w:rsidR="00740CDA" w:rsidRPr="00740CDA">
              <w:rPr>
                <w:rStyle w:val="a"/>
                <w:rFonts w:ascii="Times New Roman" w:hAnsi="Times New Roman"/>
                <w:sz w:val="24"/>
                <w:szCs w:val="24"/>
              </w:rPr>
              <w:t>no Valsts ieņēmumu dienesta</w:t>
            </w:r>
            <w:r w:rsidR="00740CD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informāciju par pārraudzības institūcijas nodokļu parādiem,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un, ja nepieciešams, papildus informāciju vai dokumentus no pārraudzības institūcijas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tāpat jārēķinās, ka 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pārraudzības institūcijas 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licencēšana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cieši saistīta ar attiecīga rīcības kodeksa apstiprināšanu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datu regulas </w:t>
            </w:r>
            <w:r w:rsidR="004D1B33">
              <w:rPr>
                <w:rStyle w:val="a"/>
                <w:rFonts w:ascii="Times New Roman" w:hAnsi="Times New Roman"/>
                <w:sz w:val="24"/>
                <w:szCs w:val="24"/>
              </w:rPr>
              <w:t>40. 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pantā noteiktajā kārtībā. 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>Proti, rīcības kodeksa apstiprināšana un tā pārraudzības institūcijas licencēšana ir vienlaikus veicami procesi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jo 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no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datu regulas 40.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punkta, 41.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panta 1.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un 5.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punkta izriet, ka apstiprināta rīcības kodeksa obligāto pārraudzību ir jāveic licenc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ētai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institūcijai.</w:t>
            </w:r>
          </w:p>
          <w:p w14:paraId="6E9AE32C" w14:textId="3207863B" w:rsidR="00D30BA4" w:rsidRDefault="00F438A4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Atbilstoši datu regulas 40.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panta 6.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punktam,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ja rīcības kodek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s vai tā grozījumu projekts 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>ir apstiprināts saskaņā ar 5.</w:t>
            </w:r>
            <w:r w:rsidR="00A71BEA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>punktu un</w:t>
            </w:r>
            <w:r w:rsidR="00A71BEA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ja attiecīgais rīcības kodekss neattiecas uz apstrādes darbībām vairākās dalībvalstīs,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Inspekcija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reģistrē un publisko kodeksu.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Savukārt saskaņā ar 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datu regulas 40.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panta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7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punkt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u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ja rīcības </w:t>
            </w:r>
            <w:r w:rsidR="001074E3" w:rsidRPr="000322D4">
              <w:rPr>
                <w:rStyle w:val="a"/>
                <w:rFonts w:ascii="Times New Roman" w:hAnsi="Times New Roman"/>
                <w:sz w:val="24"/>
                <w:szCs w:val="24"/>
              </w:rPr>
              <w:t>kodekss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vai tā grozījumu projekts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ttiecas uz apstrādes darbībām vairākās dalībvalstīs,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Inspekcijai 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pirms tā apstiprināšanas </w:t>
            </w:r>
            <w:r w:rsidR="00310008" w:rsidRPr="000322D4">
              <w:rPr>
                <w:rStyle w:val="a"/>
                <w:rFonts w:ascii="Times New Roman" w:hAnsi="Times New Roman"/>
                <w:sz w:val="24"/>
                <w:szCs w:val="24"/>
              </w:rPr>
              <w:t>63.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310008" w:rsidRPr="000322D4">
              <w:rPr>
                <w:rStyle w:val="a"/>
                <w:rFonts w:ascii="Times New Roman" w:hAnsi="Times New Roman"/>
                <w:sz w:val="24"/>
                <w:szCs w:val="24"/>
              </w:rPr>
              <w:t>pantā noteiktajā kārtībā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(konsekvences mehānisms) 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ir 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jāveic lēmuma projekta saskaņošana </w:t>
            </w:r>
            <w:r w:rsidR="00DB5C67">
              <w:rPr>
                <w:rStyle w:val="a"/>
                <w:rFonts w:ascii="Times New Roman" w:hAnsi="Times New Roman"/>
                <w:sz w:val="24"/>
                <w:szCs w:val="24"/>
              </w:rPr>
              <w:t>un jāsaņem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kolēģij</w:t>
            </w:r>
            <w:r w:rsidR="00DB5C67">
              <w:rPr>
                <w:rStyle w:val="a"/>
                <w:rFonts w:ascii="Times New Roman" w:hAnsi="Times New Roman"/>
                <w:sz w:val="24"/>
                <w:szCs w:val="24"/>
              </w:rPr>
              <w:t>as atzinums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. Starpvalstu rīcības kodeks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izskatīšanas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 apstiprināšanas plūsmas diagramma ir skatāma</w:t>
            </w:r>
            <w:r w:rsidR="009B3B1A">
              <w:t xml:space="preserve"> 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 w:rsidR="009B3B1A" w:rsidRPr="009B3B1A"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ņu 4. pielikumā</w:t>
            </w:r>
            <w:r w:rsidR="009B3B1A"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Ņemot vērā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to, ka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starpvalstu rīcības kodeksa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izvērtēšanā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un apstiprināšanā var būt iesaistītas vairākas uzraudzības iestādes, kolēģija un komisija</w:t>
            </w:r>
            <w:r w:rsidR="00D30B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starpvalstu rīcības kodeksa </w:t>
            </w:r>
            <w:r w:rsidR="0014579A">
              <w:rPr>
                <w:rStyle w:val="a"/>
                <w:rFonts w:ascii="Times New Roman" w:hAnsi="Times New Roman"/>
                <w:sz w:val="24"/>
                <w:szCs w:val="24"/>
              </w:rPr>
              <w:t>apstiprināšana</w:t>
            </w:r>
            <w:r w:rsidR="00D30B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laikietilpīga.</w:t>
            </w:r>
          </w:p>
          <w:p w14:paraId="2AC9DD56" w14:textId="23B6F53D" w:rsidR="004D4028" w:rsidRDefault="0014579A" w:rsidP="004D4028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>Lai izvairītos no situācijas, kad apstiprināt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rīcības kodekss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darbība ir jāaptur,</w:t>
            </w:r>
            <w:r w:rsidR="004D4028">
              <w:t xml:space="preserve"> </w:t>
            </w:r>
            <w:r w:rsidR="004D4028" w:rsidRPr="004D4028">
              <w:rPr>
                <w:rStyle w:val="a"/>
                <w:rFonts w:ascii="Times New Roman" w:hAnsi="Times New Roman"/>
                <w:sz w:val="24"/>
                <w:szCs w:val="24"/>
              </w:rPr>
              <w:t>jo netiek nodrošināta nepieciešamā atbilstības pārraudzība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sakarā ar to, ka l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icenc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ētai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institūcijai ir beidzies licences termiņš, Noteikumu projekt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ā ir noteikta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prasība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ka </w:t>
            </w:r>
            <w:r w:rsidR="004D4028" w:rsidRPr="004D4028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 ne vēlāk kā sešus mēnešus pirms licences derīguma termiņa beigām iesniedz Inspekcijā iesniegumu par jaunas licences izsniegšanu.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EB753D" w14:textId="0049A084" w:rsidR="00D874F4" w:rsidRPr="00EA2A34" w:rsidRDefault="0014790E" w:rsidP="00EA2A3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b/>
                <w:sz w:val="24"/>
                <w:szCs w:val="24"/>
              </w:rPr>
              <w:t xml:space="preserve">3. Licences apturēšana </w:t>
            </w:r>
            <w:r w:rsidR="00EA2A34" w:rsidRPr="00EA2A34">
              <w:rPr>
                <w:rStyle w:val="a"/>
                <w:rFonts w:ascii="Times New Roman" w:hAnsi="Times New Roman"/>
                <w:b/>
                <w:sz w:val="24"/>
                <w:szCs w:val="24"/>
              </w:rPr>
              <w:t>un anulēšana</w:t>
            </w:r>
          </w:p>
          <w:p w14:paraId="7F9314E8" w14:textId="79377C0E" w:rsidR="00B16790" w:rsidRPr="00B16790" w:rsidRDefault="009E2AE0" w:rsidP="00B1679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Saskaņā ar d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atu regulas 41. panta 5. punkt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u Inspekcijai ir jāveic licencētas pārraudzības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institūcijas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uzraudzība, kas ietver tiesības anulēt pārraudzības institūcijas licences darbību, ja licencēta pārraudzības institūcija neizpilda licencēšanas nosacījumus vai ja tās veiktās darbības pārkāpj datu regulu. Vienlaikus 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ņu 87. punktā </w:t>
            </w:r>
            <w:r w:rsidR="00F17AC5">
              <w:rPr>
                <w:rStyle w:val="a"/>
                <w:rFonts w:ascii="Times New Roman" w:hAnsi="Times New Roman"/>
                <w:sz w:val="24"/>
                <w:szCs w:val="24"/>
              </w:rPr>
              <w:t>skaidrots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 j</w:t>
            </w:r>
            <w:r w:rsidRPr="009E2AE0">
              <w:rPr>
                <w:rStyle w:val="a"/>
                <w:rFonts w:ascii="Times New Roman" w:hAnsi="Times New Roman"/>
                <w:sz w:val="24"/>
                <w:szCs w:val="24"/>
              </w:rPr>
              <w:t xml:space="preserve">a apstākļi ļauj, atsaukšanai vajadzētu notikt tikai pēc tam, kad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Inspekcija ir devusi pārraudzības institūcijai</w:t>
            </w:r>
            <w:r w:rsidRPr="009E2AE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iespēju steidzami novērst problēmas vai noteiktā termiņā veikt attiecīgus uzlabojumus.</w:t>
            </w:r>
            <w:r w:rsidR="007370B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>Ņemot vērā minēto, N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oteikumu projekta 14.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> punktā ir noteiktas tiesības Inspekcijai noteiktos gadījumos</w:t>
            </w:r>
            <w:r w:rsidR="003E5DAE">
              <w:rPr>
                <w:rStyle w:val="a"/>
                <w:rFonts w:ascii="Times New Roman" w:hAnsi="Times New Roman"/>
                <w:sz w:val="24"/>
                <w:szCs w:val="24"/>
              </w:rPr>
              <w:t>, kas saistīti ar Inspekcijas realizēto uzraudzību,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uz laiku līdz sešiem mēnešiem apturēt pārraudzības institūcijas licenci. </w:t>
            </w:r>
            <w:r w:rsidR="007370B0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institūcijai tiks dots samērīgs laiks konstat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>ēto nepilnību novēršanai. Ja konstatēt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ās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nepilnības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netiks novērst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as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Inspekcijas noteiktajā termiņā</w:t>
            </w:r>
            <w:r w:rsidR="002A7512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Inspekcija pieņems lēmumu par licences anulēšanu. Vienlaikus norādāms, ka licences apturēšanas kārtība netiks piemērota, bet uzrei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z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tiks lemts par licences anulēšanu, ja būs</w:t>
            </w:r>
            <w:r w:rsidR="00B16790" w:rsidRP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konstatēts būtisks pārraudzības institūcijas darbības vai fizisko personu datu aizsardzību regulējošo normatīvo a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>ktu pārkāpums</w:t>
            </w:r>
            <w:r w:rsidR="002A7512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vai arī </w:t>
            </w:r>
            <w:r w:rsidR="00641D8F">
              <w:rPr>
                <w:rStyle w:val="a"/>
                <w:rFonts w:ascii="Times New Roman" w:hAnsi="Times New Roman"/>
                <w:sz w:val="24"/>
                <w:szCs w:val="24"/>
              </w:rPr>
              <w:t xml:space="preserve">pārraudzības institūcija būs </w:t>
            </w:r>
            <w:r w:rsidR="00641D8F" w:rsidRPr="00B16790">
              <w:rPr>
                <w:rStyle w:val="a"/>
                <w:rFonts w:ascii="Times New Roman" w:hAnsi="Times New Roman"/>
                <w:sz w:val="24"/>
                <w:szCs w:val="24"/>
              </w:rPr>
              <w:t>iesniegusi iesniegumu ar lūgumu anulēt licenci.</w:t>
            </w:r>
          </w:p>
          <w:p w14:paraId="68E3522D" w14:textId="70BE38C0" w:rsidR="00D874F4" w:rsidRDefault="00F17AC5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L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>ēmum</w:t>
            </w:r>
            <w:r w:rsidR="00760DD8">
              <w:rPr>
                <w:rStyle w:val="a"/>
                <w:rFonts w:ascii="Times New Roman" w:hAnsi="Times New Roman"/>
                <w:sz w:val="24"/>
                <w:szCs w:val="24"/>
              </w:rPr>
              <w:t>u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par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institūcijas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licences darbības apturēšanu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, atjaunošanu vai atcelšanu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pieņems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I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>nspekcijas direktors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Direktor</w:t>
            </w:r>
            <w:r w:rsidR="00760DD8">
              <w:rPr>
                <w:rStyle w:val="a"/>
                <w:rFonts w:ascii="Times New Roman" w:hAnsi="Times New Roman"/>
                <w:sz w:val="24"/>
                <w:szCs w:val="24"/>
              </w:rPr>
              <w:t>a lēmumu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varēs pārsūdzēt Administratīvā procesa likumā noteiktajā kārtībā. Lēmuma pārsūdzēšana neaptur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ēs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tā darbību.</w:t>
            </w:r>
          </w:p>
          <w:p w14:paraId="4C941988" w14:textId="1B5843AE" w:rsidR="00282C31" w:rsidRDefault="00282C31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Likuma 22. panta ceturtajā daļā ir noteikta Inspekcijas tīmekļvietnē publicējamā un aktualizējamā informācija par pārraudzības institūciju, savukārt šīs normas piektajā daļā ir noteikt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s pienākums Inspekcijai piecu darbdienu laikā aktualizēt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22.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panta 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>ceturt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ās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daļ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as 1., 2.,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vai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3.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punktā minēto informāciju, pēc attiecīga pārraudzības institūcijas iesnieguma saņemšanas. Ņemot vērā to, ka Likuma 22. 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pantā 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nav noteikt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a kārtība un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termiņš, kādā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 publicē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aktualizē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tās tīmekļvietnē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visu </w:t>
            </w:r>
            <w:r w:rsidR="0010562D" w:rsidRP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Likuma 22. panta ceturtajā daļā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noteikto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informāciju par pārraudzības institūciju,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skaidrības nodrošināšanai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minētais jautājums ir noregulēts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Noteikumu projekta 2.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punktā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742A2596" w14:textId="246EDFD6" w:rsidR="00EC6EBE" w:rsidRPr="00C94046" w:rsidRDefault="00EC6EBE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b/>
                <w:sz w:val="24"/>
                <w:szCs w:val="24"/>
              </w:rPr>
            </w:pPr>
            <w:r w:rsidRPr="00C94046">
              <w:rPr>
                <w:rStyle w:val="a"/>
                <w:rFonts w:ascii="Times New Roman" w:hAnsi="Times New Roman"/>
                <w:b/>
                <w:sz w:val="24"/>
                <w:szCs w:val="24"/>
              </w:rPr>
              <w:t>4. Valsts nodevas apmērs un maksāšanas kārtība</w:t>
            </w:r>
          </w:p>
          <w:p w14:paraId="7BE3ECC0" w14:textId="0587F791" w:rsidR="007A3F4D" w:rsidRDefault="007A3F4D" w:rsidP="00EC6EBE">
            <w:pPr>
              <w:pStyle w:val="Bezatstarpm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Noteikumu projektā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noteikts, ka </w:t>
            </w:r>
            <w:r w:rsidR="00EC6EBE" w:rsidRPr="00224A19">
              <w:rPr>
                <w:lang w:val="en-US"/>
              </w:rPr>
              <w:t xml:space="preserve">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valsts nodeva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 apmērs par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licences izsniegšanu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ir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7700 euro.</w:t>
            </w:r>
            <w:r w:rsidRPr="00C9404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10CE5436" w14:textId="77777777" w:rsidR="004D15A9" w:rsidRDefault="007A3F4D" w:rsidP="003A62DB">
            <w:pPr>
              <w:pStyle w:val="Bezatstarpm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alsts nodev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jāapmaksā pirms 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pārraudzības institūcija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iesniedz attiecīgu iesniegumu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Inspekcijā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Tāpat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Noteikumu projektā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oteikts, ka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 samaksāto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valsts nodevu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pārraudzības institūcijai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neatmaksā, ja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 pieņēmusi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lēmumu atteikt licences izsniegšanu, anulē izsniegto licenci vai pārraudzības institūcija atsaukusi iesniegumu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 Tā kā valsts nodeva sedz ar iesnieguma izskatīšanu un lēmum</w:t>
            </w:r>
            <w:r w:rsidR="003A62D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pieņemšanu saistītās </w:t>
            </w:r>
            <w:r w:rsidR="0049556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Inspekcijas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izmaksas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nav pamata valsts nodevas atmaksai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norādītajos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gadījumos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238FC380" w14:textId="69DE75C5" w:rsidR="00D10210" w:rsidRPr="007913E9" w:rsidRDefault="00D10210" w:rsidP="00D10210">
            <w:pPr>
              <w:pStyle w:val="Bezatstarpm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Noteikumu p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rojektā noteikts tā spēkā stāšanās termiņš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gada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janvāris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Šāds termiņš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noteikts, lai nodrošinātu Noteikumu projekta saskaņošanu un pieņemšanu, kā arī sagatavotos regulējuma ieviešanai. </w:t>
            </w:r>
          </w:p>
        </w:tc>
      </w:tr>
      <w:tr w:rsidR="00E53DC4" w:rsidRPr="00E53DC4" w14:paraId="31111A4D" w14:textId="77777777" w:rsidTr="00C94046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34D18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A166C2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  <w:r w:rsidR="00A1552F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publiskas personas kapitālsabiedrības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F026E5" w14:textId="2122E75A" w:rsidR="004D15A9" w:rsidRPr="00E53DC4" w:rsidRDefault="00A40270" w:rsidP="006956DE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projektu izstrādāja </w:t>
            </w:r>
            <w:r w:rsidR="004F61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88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nspekcija sadarbībā ar </w:t>
            </w: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</w:t>
            </w:r>
            <w:r w:rsidR="0088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E543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D5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53DC4" w:rsidRPr="00E53DC4" w14:paraId="6AA96E01" w14:textId="77777777" w:rsidTr="00C94046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AC03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D837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9DCD3" w14:textId="77777777" w:rsidR="004D15A9" w:rsidRPr="00E53DC4" w:rsidRDefault="00A40270" w:rsidP="0077004F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0E42FD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48F601EB" w14:textId="77777777" w:rsidTr="00C94046">
        <w:trPr>
          <w:trHeight w:val="128"/>
        </w:trPr>
        <w:tc>
          <w:tcPr>
            <w:tcW w:w="5000" w:type="pct"/>
            <w:gridSpan w:val="10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00EE1706" w14:textId="77777777" w:rsidR="00031256" w:rsidRPr="00E53DC4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  <w:tr w:rsidR="00E53DC4" w:rsidRPr="00E53DC4" w14:paraId="4498EEE4" w14:textId="77777777" w:rsidTr="00C94046">
        <w:trPr>
          <w:trHeight w:val="555"/>
        </w:trPr>
        <w:tc>
          <w:tcPr>
            <w:tcW w:w="5000" w:type="pct"/>
            <w:gridSpan w:val="10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B46BD1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E53DC4" w:rsidRPr="00E53DC4" w14:paraId="2D61FF73" w14:textId="77777777" w:rsidTr="00C94046">
        <w:trPr>
          <w:trHeight w:val="2599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182F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AD570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ECB6AC" w14:textId="7E54B320" w:rsidR="0046060E" w:rsidRDefault="0055392D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39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projektā paredzētais regulējums skars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juridiskās personas, k</w:t>
            </w:r>
            <w:r w:rsidR="00AC4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vēlēsies saņemt licenci rīcības kodeksa pārraudzībai. 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Rīcības kodeksa izstrādātāju, j</w:t>
            </w:r>
            <w:r w:rsid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ebkuru valsts iestādi, ja lēmuma pieņemšanai par licences izsniegšanu, būs nepieciešams pieprasīt tās rīcībā esošo informāciju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3E1F722" w14:textId="345A60B2" w:rsidR="007E37EC" w:rsidRDefault="007E37EC" w:rsidP="007E37EC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Tāpat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ums skars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nspekcijas amatpersonas, kas 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ks pārraudzības institūciju licencēšanu un licencētas pārraudzības institūcijas 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darbības uzraudzību.</w:t>
            </w:r>
          </w:p>
          <w:p w14:paraId="023B0601" w14:textId="67003CAA" w:rsidR="004D15A9" w:rsidRPr="00E53DC4" w:rsidRDefault="00793050" w:rsidP="00BA4404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projekta regulējums netieši skar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pārziņus vai apstrādātājus, kurus uzraudzīs licencētas pārraudzības institūcijas.</w:t>
            </w:r>
          </w:p>
        </w:tc>
      </w:tr>
      <w:tr w:rsidR="00E53DC4" w:rsidRPr="00E53DC4" w14:paraId="04F6F956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91A344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132EF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3ED4B8" w14:textId="03E466AD" w:rsidR="004D15A9" w:rsidRDefault="00AC4363" w:rsidP="000B1D24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Inspekcijai un juridiskajām personām, kuras </w:t>
            </w:r>
            <w:r w:rsidRPr="00AC4363">
              <w:rPr>
                <w:rFonts w:ascii="Times New Roman" w:hAnsi="Times New Roman" w:cs="Times New Roman"/>
                <w:sz w:val="24"/>
                <w:szCs w:val="24"/>
              </w:rPr>
              <w:t>vēlēsies saņemt licenci rīcības kodeksa pārraudzībai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 Noteikumu projekta stāšanos spēkā pieaugs administratīvais slogs.</w:t>
            </w:r>
            <w:r w:rsidR="003F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BBC62" w14:textId="5A83D2E7" w:rsidR="00AC4363" w:rsidRPr="00E53DC4" w:rsidRDefault="00AC4363" w:rsidP="000B1D24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3DC4" w:rsidRPr="00E53DC4" w14:paraId="69E4A11B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C803E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4B70F7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3993B8" w14:textId="77777777" w:rsidR="004D15A9" w:rsidRPr="00E53DC4" w:rsidRDefault="00A40270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 šo jomu neskar.</w:t>
            </w:r>
          </w:p>
        </w:tc>
      </w:tr>
      <w:tr w:rsidR="00E53DC4" w:rsidRPr="00E53DC4" w14:paraId="6098C27E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05698C" w14:textId="77777777" w:rsidR="00A1552F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AEC015" w14:textId="77777777" w:rsidR="00A1552F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B9D28" w14:textId="77777777" w:rsidR="00A1552F" w:rsidRPr="00E53DC4" w:rsidRDefault="00A40270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 šo jomu neskar.</w:t>
            </w:r>
          </w:p>
        </w:tc>
      </w:tr>
      <w:tr w:rsidR="00E53DC4" w:rsidRPr="00E53DC4" w14:paraId="2F4E8DBC" w14:textId="77777777" w:rsidTr="00C94046">
        <w:trPr>
          <w:trHeight w:val="34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F6A5275" w14:textId="77777777" w:rsidR="004D15A9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4D15A9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CEA47E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2D5CE0D" w14:textId="77777777" w:rsidR="004D15A9" w:rsidRPr="00E53DC4" w:rsidRDefault="004D15A9" w:rsidP="00AC4363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A40270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</w:t>
            </w:r>
            <w:r w:rsidR="000E42FD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618F8255" w14:textId="77777777" w:rsidTr="00C9404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023EF" w14:textId="77777777" w:rsidR="0059057E" w:rsidRPr="00E53DC4" w:rsidRDefault="0059057E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B3578" w:rsidRPr="00BC2633" w14:paraId="2F5F6588" w14:textId="77777777" w:rsidTr="00C9404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6B0" w14:textId="77777777" w:rsidR="005B3578" w:rsidRPr="00BC2633" w:rsidRDefault="005B3578" w:rsidP="00035B3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5B3578" w:rsidRPr="00A1552F" w14:paraId="6D82BBF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 w:val="restart"/>
            <w:shd w:val="clear" w:color="auto" w:fill="FFFFFF"/>
            <w:vAlign w:val="center"/>
          </w:tcPr>
          <w:p w14:paraId="79C6D2D7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Rādītāji</w:t>
            </w:r>
          </w:p>
        </w:tc>
        <w:tc>
          <w:tcPr>
            <w:tcW w:w="1096" w:type="pct"/>
            <w:gridSpan w:val="3"/>
            <w:vMerge w:val="restart"/>
            <w:shd w:val="clear" w:color="auto" w:fill="FFFFFF"/>
            <w:vAlign w:val="center"/>
            <w:hideMark/>
          </w:tcPr>
          <w:p w14:paraId="5B938A66" w14:textId="0D040CDA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2021</w:t>
            </w:r>
          </w:p>
        </w:tc>
        <w:tc>
          <w:tcPr>
            <w:tcW w:w="2655" w:type="pct"/>
            <w:gridSpan w:val="5"/>
            <w:shd w:val="clear" w:color="auto" w:fill="FFFFFF"/>
            <w:vAlign w:val="center"/>
            <w:hideMark/>
          </w:tcPr>
          <w:p w14:paraId="4631547B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trīs gadi (</w:t>
            </w:r>
            <w:r w:rsidRPr="001F68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5B3578" w:rsidRPr="00A1552F" w14:paraId="731AD690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/>
            <w:shd w:val="clear" w:color="auto" w:fill="auto"/>
            <w:vAlign w:val="center"/>
            <w:hideMark/>
          </w:tcPr>
          <w:p w14:paraId="4B71BEEF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6" w:type="pct"/>
            <w:gridSpan w:val="3"/>
            <w:vMerge/>
            <w:shd w:val="clear" w:color="auto" w:fill="auto"/>
            <w:vAlign w:val="center"/>
            <w:hideMark/>
          </w:tcPr>
          <w:p w14:paraId="65B6A652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6" w:type="pct"/>
            <w:gridSpan w:val="2"/>
            <w:shd w:val="clear" w:color="auto" w:fill="FFFFFF"/>
            <w:vAlign w:val="center"/>
            <w:hideMark/>
          </w:tcPr>
          <w:p w14:paraId="2B178D47" w14:textId="4572F3D5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015" w:type="pct"/>
            <w:gridSpan w:val="2"/>
            <w:shd w:val="clear" w:color="auto" w:fill="FFFFFF"/>
            <w:vAlign w:val="center"/>
            <w:hideMark/>
          </w:tcPr>
          <w:p w14:paraId="4193AF70" w14:textId="56766430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59BE42F0" w14:textId="2CEC8EEA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</w:t>
            </w:r>
          </w:p>
        </w:tc>
      </w:tr>
      <w:tr w:rsidR="005B3578" w:rsidRPr="00A1552F" w14:paraId="6998900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/>
            <w:shd w:val="clear" w:color="auto" w:fill="auto"/>
            <w:vAlign w:val="center"/>
            <w:hideMark/>
          </w:tcPr>
          <w:p w14:paraId="67A6494C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7156D38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valsts budžetu kārtējam gadam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2AFDE9F7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6A056F63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6D8F0DD1" w14:textId="25A0372A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411F780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6050A49E" w14:textId="220951DD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10C8274E" w14:textId="53C1302E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</w:tr>
      <w:tr w:rsidR="005B3578" w:rsidRPr="00A1552F" w14:paraId="1F1457D9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FFFFFF"/>
            <w:vAlign w:val="center"/>
            <w:hideMark/>
          </w:tcPr>
          <w:p w14:paraId="1CD9912B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61A2DC6F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3FEF88E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63640C6A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103D1A13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131DFD0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080E33E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6B9A7200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B3578" w:rsidRPr="00A1552F" w14:paraId="1BE89C7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FFFFFF"/>
            <w:hideMark/>
          </w:tcPr>
          <w:p w14:paraId="6A7AE9C9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Budžeta ieņēmumi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0867A894" w14:textId="771B4DCC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0BBAE01B" w14:textId="0F70762F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1B3410FA" w14:textId="170A98E2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77BFDE5" w14:textId="46E91FDF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AC80113" w14:textId="0A26EF06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5DE094C" w14:textId="3874665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421788D1" w14:textId="59126EBF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79E1FAD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45C708E0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valsts pamatbudžets, tai skaitā ieņēmumi no maksas pakalpojumiem un citi pašu ieņēmumi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7FAC4114" w14:textId="6D848FA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4995F4" w14:textId="2DFE3DB9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0A6485" w14:textId="37501A3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1BF029C" w14:textId="54EE02F6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7D3C84E" w14:textId="17FE198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2B82391" w14:textId="38606DA4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D394A3D" w14:textId="530E3339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1DD851E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6D60435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valsts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10581BC" w14:textId="22B3321E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4EC443" w14:textId="5BCF021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CC3CAB" w14:textId="38635B6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1404F8E" w14:textId="399635B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B38AF7D" w14:textId="765AA32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B10B07" w14:textId="1935395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B00EEDC" w14:textId="50A14D3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FFF099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EC9E435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724472F5" w14:textId="4F96809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6FB1990" w14:textId="2F8FBD7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108D32" w14:textId="56B6B04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8056F82" w14:textId="5296983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6393BED8" w14:textId="0E316D2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60D3E89" w14:textId="29E4FBE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524CDFC" w14:textId="571D52C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4215C68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61F1BC0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Budžeta izdevumi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2787C4E" w14:textId="25FA793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34570DC" w14:textId="15089011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078E6C" w14:textId="048B9D4B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EEFC8A9" w14:textId="7B1DF3CD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FF1C5F3" w14:textId="471EEA18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943CADB" w14:textId="080786D8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8C9E349" w14:textId="23CCC411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059A97C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EE2E969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valsts pamatbudžets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2211CA4" w14:textId="3BFBABDE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B547B98" w14:textId="40FD467B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166305" w14:textId="4F85B207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CE17768" w14:textId="570B8C1C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40AE9A4A" w14:textId="710AF8A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561DAA0" w14:textId="4CF1B00D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60CD6D6" w14:textId="6EFBC1F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15C358A7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6BC6995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 valsts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552B41E2" w14:textId="1AFDCE4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78B6340" w14:textId="07E1D6FE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6B7A86" w14:textId="1BE6C866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B482C49" w14:textId="1D8EC71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4AD7E2E8" w14:textId="610271F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728B7D2" w14:textId="5ACAC75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020CF73" w14:textId="1FDA2A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2437E7E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22CCB66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B83BB89" w14:textId="15DE2FF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7BE2214" w14:textId="7E0188B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2E49A6" w14:textId="7FA2A48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ECC418A" w14:textId="097823C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2CFB3BFA" w14:textId="35DC2D8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D38AE94" w14:textId="304D484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8E258E" w14:textId="0F987E4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5607F7B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25893AB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Finansiālā ietekme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B25F68B" w14:textId="11880650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A6FE9CA" w14:textId="4908C02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68EC88" w14:textId="64193D43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E470ACD" w14:textId="0F2EEF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36763BCE" w14:textId="7582FEB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0E125E0" w14:textId="555A587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876ECA1" w14:textId="0852E486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05CD4FD9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720764DA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 valsts pamatbudžets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0B4F0DD" w14:textId="2A66DC4B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88916E4" w14:textId="6FBF83B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40030B" w14:textId="5FF8BA8B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8C18B26" w14:textId="5E8AAC6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5403F597" w14:textId="3D73A141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6F171F4" w14:textId="39F5D99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7AD7E25" w14:textId="77A2A32F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0A14FED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307CFBB8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45D18B0C" w14:textId="6830C4E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2D036F6" w14:textId="696A56E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D9288C" w14:textId="18AEFDE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DF57102" w14:textId="24EAE2D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6BFD0DA6" w14:textId="596CA5D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60194C9" w14:textId="1D00871A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5B5CA0B" w14:textId="1EE569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F945594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62810E5D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C10EF96" w14:textId="31FFAA3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0C41341" w14:textId="2F9416F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235C35" w14:textId="0C4E7AB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09554EA" w14:textId="620DE0E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0BE77D89" w14:textId="3822C10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AC7B328" w14:textId="384BA7E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A30DCD2" w14:textId="620869F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E5BF083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8A4012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36CE29A3" w14:textId="7FA1BF3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E202995" w14:textId="5F42973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E80B06" w14:textId="522583C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AFBD37A" w14:textId="49799C4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9ECB12F" w14:textId="3301F73A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85624F4" w14:textId="4974BF8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BD4660E" w14:textId="77D5ACE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72F1893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826D217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Precizēta finansiālā ietekme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  <w:hideMark/>
          </w:tcPr>
          <w:p w14:paraId="6456A9F9" w14:textId="0C53245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3ABB1" w14:textId="5B57E08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4C9E9744" w14:textId="6CA4CF5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B1DF02E" w14:textId="417DDD0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14:paraId="469404CE" w14:textId="09B2A12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789227C" w14:textId="0BD3958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2FCCC1C" w14:textId="0254A70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4A691C35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44CEA767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 valsts pamatbudžets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46F8F8C1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86BD1E3" w14:textId="554D928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3B5FE022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265D0E" w14:textId="0FE6336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2CCC0B9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40A3C7F" w14:textId="6C7DD364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7BF8BF6" w14:textId="3D106D4E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72321E3B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3D6BEDCD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 speciālais 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708EB56D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DD2FC47" w14:textId="1BFC209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1224F601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EFE3F68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6AD357B7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8D8E6A4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414EF6E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436506AA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7BEC462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 pašvaldību 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3C809C53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CF9E2E3" w14:textId="3279F906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0981E3ED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711BD2F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5E9395DB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EE8CDF8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329403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74B39477" w14:textId="77777777" w:rsidTr="00AD1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5BD7DDA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Detalizēts ieņēmumu un izdevumu aprēķins (ja nepieciešams, detalizētu ieņēmumu un izdevumu aprēķinu var pievienot anotācijas pielikumā)</w:t>
            </w:r>
          </w:p>
        </w:tc>
        <w:tc>
          <w:tcPr>
            <w:tcW w:w="3751" w:type="pct"/>
            <w:gridSpan w:val="8"/>
            <w:vMerge w:val="restart"/>
            <w:shd w:val="clear" w:color="auto" w:fill="auto"/>
            <w:vAlign w:val="center"/>
            <w:hideMark/>
          </w:tcPr>
          <w:p w14:paraId="4157FEC9" w14:textId="6FB94A9D" w:rsidR="009524DC" w:rsidRDefault="00AF2F6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Budžeta ieņēmumu aprēķins veikts, pieņemot, ka licences vēlēsies saņemt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četras</w:t>
            </w: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institūcijas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no tām divas 2022. gadā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viena 2023.gadā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gadā</w:t>
            </w: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Licence tiek izsniegta uz pieciem gadiem.</w:t>
            </w:r>
          </w:p>
          <w:p w14:paraId="20064CA2" w14:textId="77777777" w:rsidR="00AD1046" w:rsidRDefault="00EC47E9" w:rsidP="00AD1046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rojektā paredzētā valsts nodeva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pārraudzības institūcijai ir 7700 </w:t>
            </w:r>
            <w:r w:rsidRPr="00886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035B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D3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47BE9">
              <w:rPr>
                <w:rFonts w:ascii="Times New Roman" w:hAnsi="Times New Roman" w:cs="Times New Roman"/>
                <w:sz w:val="24"/>
                <w:szCs w:val="24"/>
              </w:rPr>
              <w:t xml:space="preserve">alsts nodeva par 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licences izsniegšanu </w:t>
            </w:r>
            <w:r w:rsidR="00035B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institūcijai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noteikta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CC9">
              <w:rPr>
                <w:rFonts w:ascii="Times New Roman" w:hAnsi="Times New Roman" w:cs="Times New Roman"/>
                <w:sz w:val="24"/>
                <w:szCs w:val="24"/>
              </w:rPr>
              <w:t xml:space="preserve">ņemot vērā 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0CC9">
              <w:rPr>
                <w:rFonts w:ascii="Times New Roman" w:hAnsi="Times New Roman" w:cs="Times New Roman"/>
                <w:sz w:val="24"/>
                <w:szCs w:val="24"/>
              </w:rPr>
              <w:t xml:space="preserve">oteikumu 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3C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nodaļā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 xml:space="preserve"> izvirzītās prasības pārraudzības institūcijai</w:t>
            </w:r>
            <w:r w:rsidRPr="00547BE9">
              <w:rPr>
                <w:rFonts w:ascii="Times New Roman" w:hAnsi="Times New Roman" w:cs="Times New Roman"/>
                <w:sz w:val="24"/>
                <w:szCs w:val="24"/>
              </w:rPr>
              <w:t xml:space="preserve">, lai tā varētu saņemt 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licenci</w:t>
            </w:r>
            <w:r w:rsidR="00863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C1620F" w14:textId="76D4C0CB" w:rsidR="00247035" w:rsidRDefault="00863CC4" w:rsidP="00AD1046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 nodevas apmērs ir noteikts gana augsts 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>ar mērķi, lai nodevas apmērs būtu saistīts ar vienu no</w:t>
            </w:r>
            <w:r w:rsidR="008C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93C">
              <w:rPr>
                <w:rFonts w:ascii="Times New Roman" w:hAnsi="Times New Roman" w:cs="Times New Roman"/>
                <w:sz w:val="24"/>
                <w:szCs w:val="24"/>
              </w:rPr>
              <w:t>pārraudzības institūcijai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 xml:space="preserve"> izvirzītajiem kritērijiem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93C">
              <w:rPr>
                <w:rFonts w:ascii="Times New Roman" w:hAnsi="Times New Roman" w:cs="Times New Roman"/>
                <w:sz w:val="24"/>
                <w:szCs w:val="24"/>
              </w:rPr>
              <w:t>neatkarību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Pārraudzības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nstitūcijai ir jānodrošina attiecīgi resursi – gan cilvēkresursi, gan finansiālie resursi, lai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varētu nodrošināt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 xml:space="preserve">rīcības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kodeksa noteikumu izpildes  uzraudzību un veikt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datu regulas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prasību izpildi. Līdz ar to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 xml:space="preserve">pārraudzības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institūcijai jābūt pieejamiem pietiekamiem finansiāliem resursiem. </w:t>
            </w:r>
            <w:r w:rsidRPr="00C94046">
              <w:rPr>
                <w:rFonts w:ascii="Times New Roman" w:hAnsi="Times New Roman" w:cs="Times New Roman"/>
              </w:rPr>
              <w:t>T</w:t>
            </w:r>
            <w:r w:rsidRPr="00863CC4">
              <w:rPr>
                <w:rFonts w:ascii="Times New Roman" w:hAnsi="Times New Roman" w:cs="Times New Roman"/>
              </w:rPr>
              <w:t>ā</w:t>
            </w:r>
            <w:r w:rsidRPr="00C94046">
              <w:rPr>
                <w:rFonts w:ascii="Times New Roman" w:hAnsi="Times New Roman" w:cs="Times New Roman"/>
              </w:rPr>
              <w:t xml:space="preserve">pat valsts nodevas apmērs ir 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>noteikt</w:t>
            </w:r>
            <w:r w:rsidRPr="00863C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ņemot vērā Inspekcijas </w:t>
            </w:r>
            <w:r w:rsidR="008A5F3F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A5F3F" w:rsidRPr="00C94046">
              <w:rPr>
                <w:rFonts w:ascii="Times New Roman" w:hAnsi="Times New Roman" w:cs="Times New Roman"/>
                <w:sz w:val="24"/>
                <w:szCs w:val="24"/>
              </w:rPr>
              <w:t>esursu ieguldījumu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viena iesnieguma licences</w:t>
            </w:r>
            <w:r w:rsidR="00D404B1" w:rsidRPr="008A5F3F">
              <w:rPr>
                <w:rFonts w:ascii="Times New Roman" w:hAnsi="Times New Roman" w:cs="Times New Roman"/>
                <w:sz w:val="24"/>
                <w:szCs w:val="24"/>
              </w:rPr>
              <w:t xml:space="preserve"> izsniegšanai izskatīšan</w:t>
            </w:r>
            <w:r w:rsidR="0028659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404B1" w:rsidRPr="00D404B1">
              <w:rPr>
                <w:rFonts w:ascii="Times New Roman" w:hAnsi="Times New Roman" w:cs="Times New Roman"/>
                <w:sz w:val="24"/>
                <w:szCs w:val="24"/>
              </w:rPr>
              <w:t xml:space="preserve"> un lēmuma pieņemšan</w:t>
            </w:r>
            <w:r w:rsidR="0028659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4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F3F">
              <w:rPr>
                <w:rFonts w:ascii="Times New Roman" w:hAnsi="Times New Roman" w:cs="Times New Roman"/>
                <w:sz w:val="24"/>
                <w:szCs w:val="24"/>
              </w:rPr>
              <w:t xml:space="preserve"> Licence tiek izsniegta uz 5 gadiem, līdz ar to valsts nodeva tiek maksāta par visu periodu 5 gadi. </w:t>
            </w:r>
          </w:p>
          <w:p w14:paraId="3D433230" w14:textId="77777777" w:rsidR="00247035" w:rsidRDefault="00247035" w:rsidP="00035B3C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AAB2" w14:textId="02AD2EDF" w:rsidR="00C75D74" w:rsidRPr="00C75D74" w:rsidRDefault="00C75D74" w:rsidP="00C75D74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1B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gadā ieņēmumi sastādīs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B20CCE0" w14:textId="56C10C85" w:rsidR="009524DC" w:rsidRDefault="00C75D74" w:rsidP="00C75D74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institūcijas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=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8716F4A" w14:textId="08A37009" w:rsidR="00E6534C" w:rsidRPr="00E6534C" w:rsidRDefault="00E6534C" w:rsidP="00E6534C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1B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gadā ieņēmumi sastādīs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91C1D2F" w14:textId="0A64DBD6" w:rsidR="00E6534C" w:rsidRDefault="00E6534C" w:rsidP="00E6534C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7700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pārraudzības institūcijas =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3670E98" w14:textId="4D45BE74" w:rsidR="006149A2" w:rsidRPr="006149A2" w:rsidRDefault="006149A2" w:rsidP="006149A2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 gadā ieņēmumi sastādīs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3A7D362" w14:textId="77777777" w:rsidR="006149A2" w:rsidRPr="006149A2" w:rsidRDefault="006149A2" w:rsidP="006149A2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1 pārraudzības institūcijas =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191E2B9" w14:textId="7034A812" w:rsidR="000622B7" w:rsidRPr="00A1552F" w:rsidRDefault="000622B7" w:rsidP="00C94046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7403FA1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853A174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 detalizēts ieņēmumu aprēķins</w:t>
            </w:r>
          </w:p>
        </w:tc>
        <w:tc>
          <w:tcPr>
            <w:tcW w:w="3751" w:type="pct"/>
            <w:gridSpan w:val="8"/>
            <w:vMerge/>
            <w:shd w:val="clear" w:color="auto" w:fill="auto"/>
            <w:vAlign w:val="center"/>
            <w:hideMark/>
          </w:tcPr>
          <w:p w14:paraId="2B659B4F" w14:textId="77777777" w:rsidR="005B3578" w:rsidRPr="00A1552F" w:rsidRDefault="005B357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5FE30A5D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79D4C3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 detalizēts izdevumu aprēķins</w:t>
            </w:r>
          </w:p>
        </w:tc>
        <w:tc>
          <w:tcPr>
            <w:tcW w:w="3751" w:type="pct"/>
            <w:gridSpan w:val="8"/>
            <w:vMerge/>
            <w:shd w:val="clear" w:color="auto" w:fill="auto"/>
            <w:vAlign w:val="center"/>
            <w:hideMark/>
          </w:tcPr>
          <w:p w14:paraId="4882E048" w14:textId="77777777" w:rsidR="005B3578" w:rsidRPr="00A1552F" w:rsidRDefault="005B357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683F28D0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4117451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Amata vietu skaita izmaiņas</w:t>
            </w:r>
          </w:p>
        </w:tc>
        <w:tc>
          <w:tcPr>
            <w:tcW w:w="3751" w:type="pct"/>
            <w:gridSpan w:val="8"/>
            <w:shd w:val="clear" w:color="auto" w:fill="auto"/>
            <w:hideMark/>
          </w:tcPr>
          <w:p w14:paraId="4CA81BCB" w14:textId="2F98BC9E" w:rsidR="005B3578" w:rsidRPr="00A1552F" w:rsidRDefault="00AF2F68" w:rsidP="002B25CB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vietu skaits nemainās.</w:t>
            </w:r>
          </w:p>
        </w:tc>
      </w:tr>
      <w:tr w:rsidR="005B3578" w:rsidRPr="00A1552F" w14:paraId="219C6947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A0DAD3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Cita informācija</w:t>
            </w:r>
          </w:p>
        </w:tc>
        <w:tc>
          <w:tcPr>
            <w:tcW w:w="3751" w:type="pct"/>
            <w:gridSpan w:val="8"/>
            <w:shd w:val="clear" w:color="auto" w:fill="auto"/>
            <w:hideMark/>
          </w:tcPr>
          <w:p w14:paraId="59BC2320" w14:textId="5E23F74E" w:rsidR="005B3578" w:rsidRPr="00A1552F" w:rsidRDefault="00AF2F6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5B35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B2901F7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E53DC4" w:rsidRPr="00E53DC4" w14:paraId="7A9DE8FA" w14:textId="77777777" w:rsidTr="004D15A9">
        <w:trPr>
          <w:trHeight w:val="45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3D3819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1E5C0A" w:rsidRPr="00E53DC4" w14:paraId="69A119C2" w14:textId="77777777" w:rsidTr="001E5C0A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FFAD1E" w14:textId="77777777" w:rsidR="006463EF" w:rsidRPr="00E53DC4" w:rsidRDefault="001E5C0A" w:rsidP="0064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</w:tbl>
    <w:p w14:paraId="64661AB7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520014" w:rsidRPr="00AD0DA3" w14:paraId="5184C155" w14:textId="77777777" w:rsidTr="00593E3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823DE" w14:textId="77777777" w:rsidR="00520014" w:rsidRPr="00AD0DA3" w:rsidRDefault="00520014" w:rsidP="005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520014" w:rsidRPr="00AD0DA3" w14:paraId="4203306E" w14:textId="77777777" w:rsidTr="00593E34">
        <w:trPr>
          <w:trHeight w:val="343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CF9B0DE" w14:textId="77777777" w:rsidR="00520014" w:rsidRPr="00AD0DA3" w:rsidRDefault="00520014" w:rsidP="005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D0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</w:tc>
      </w:tr>
    </w:tbl>
    <w:p w14:paraId="5043EBAB" w14:textId="53E81999" w:rsidR="00520014" w:rsidRPr="00E53DC4" w:rsidRDefault="00520014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2515"/>
        <w:gridCol w:w="6087"/>
      </w:tblGrid>
      <w:tr w:rsidR="00E53DC4" w:rsidRPr="00E53DC4" w14:paraId="483B3EF8" w14:textId="77777777" w:rsidTr="004D15A9">
        <w:trPr>
          <w:trHeight w:val="42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48719B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F3469A" w:rsidRPr="00E53DC4" w14:paraId="7C0BCDC8" w14:textId="77777777" w:rsidTr="004C3B12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EB8D15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902211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7ABF0" w14:textId="3231957B" w:rsidR="00F3469A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par </w:t>
            </w:r>
            <w:r w:rsidR="005F65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09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projektu un sabiedrības līdzdalības aktivitātēm tiks ievietota Inspekcijas, Tieslietu ministrijas un Valsts kancelejas tīmekļvietnēs.</w:t>
            </w:r>
          </w:p>
        </w:tc>
      </w:tr>
      <w:tr w:rsidR="00F3469A" w:rsidRPr="00E53DC4" w14:paraId="792EE78A" w14:textId="77777777" w:rsidTr="004C3B12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26950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F2569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7B1704" w14:textId="5D60E396" w:rsidR="00F3469A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2009. gada 25. augusta noteikumu Nr. 970 "Sabiedrības līdzdalības kārtība attīstības plānošanas procesā" 7.4.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apakšpunktam jebkurš sabiedrības pārstāvis varēs līdzdarboties projekta izstrādē, rakstiski sniedzot viedokli (iebildumus un priekšlikumus) par </w:t>
            </w:r>
            <w:r w:rsidR="00657B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projektu.</w:t>
            </w:r>
          </w:p>
        </w:tc>
      </w:tr>
      <w:tr w:rsidR="00E53DC4" w:rsidRPr="00E53DC4" w14:paraId="036CD42D" w14:textId="77777777" w:rsidTr="004C3B1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759957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8849F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8B4F45" w14:textId="62F7ABFF" w:rsidR="004D15A9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469A">
              <w:rPr>
                <w:rFonts w:ascii="Times New Roman" w:hAnsi="Times New Roman" w:cs="Times New Roman"/>
                <w:sz w:val="24"/>
                <w:szCs w:val="24"/>
              </w:rPr>
              <w:t xml:space="preserve">Sabiedrības pārstāvju rakstiski sniegtie viedokļi tiks izvērtēti </w:t>
            </w:r>
            <w:r w:rsidR="00657B2C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Pr="00F3469A">
              <w:rPr>
                <w:rFonts w:ascii="Times New Roman" w:hAnsi="Times New Roman" w:cs="Times New Roman"/>
                <w:sz w:val="24"/>
                <w:szCs w:val="24"/>
              </w:rPr>
              <w:t>projekta izstrādē.</w:t>
            </w:r>
          </w:p>
        </w:tc>
      </w:tr>
      <w:tr w:rsidR="004D15A9" w:rsidRPr="00E53DC4" w14:paraId="7CFC171D" w14:textId="77777777" w:rsidTr="004C3B1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4681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AE8FF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F9248C" w14:textId="021B0045" w:rsidR="004D15A9" w:rsidRPr="00E53DC4" w:rsidRDefault="004D15A9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E0FACB1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659"/>
        <w:gridCol w:w="5944"/>
      </w:tblGrid>
      <w:tr w:rsidR="00E53DC4" w:rsidRPr="00E53DC4" w14:paraId="2506337E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60F790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E53DC4" w:rsidRPr="00E53DC4" w14:paraId="48019154" w14:textId="77777777" w:rsidTr="003803BC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F23CFD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ABC68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ABD6B" w14:textId="79CDE69C" w:rsidR="004D15A9" w:rsidRPr="00E53DC4" w:rsidRDefault="00EB2975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Inspekcija.</w:t>
            </w:r>
          </w:p>
        </w:tc>
      </w:tr>
      <w:tr w:rsidR="00E53DC4" w:rsidRPr="00E53DC4" w14:paraId="0B0D8E7C" w14:textId="77777777" w:rsidTr="003803BC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12D16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9BA293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14:paraId="19B8A55D" w14:textId="77777777" w:rsidR="004D15A9" w:rsidRPr="00E53DC4" w:rsidRDefault="004D15A9" w:rsidP="0042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D385E" w14:textId="34CF74A5" w:rsidR="004D15A9" w:rsidRDefault="00155726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projekts </w:t>
            </w:r>
            <w:r w:rsidR="00967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 Inspekcijas funkciju paplašināšanu, lai nodrošinātu pārraudzības institūciju licencēšanu.</w:t>
            </w: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Jaunas institūcijas nebūs jāveido, esošās institūcijas nebūs jālikvidē vai jāreorganizē.</w:t>
            </w:r>
          </w:p>
          <w:p w14:paraId="5BACB0F5" w14:textId="7D84C078" w:rsidR="0096746F" w:rsidRPr="00BC0E70" w:rsidRDefault="0096746F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15A9" w:rsidRPr="00E53DC4" w14:paraId="128A8434" w14:textId="77777777" w:rsidTr="003803BC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FD89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57692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6284B9" w14:textId="77777777" w:rsidR="004D15A9" w:rsidRPr="00E53DC4" w:rsidRDefault="00155726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7047F3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6FE6DF2" w14:textId="77777777" w:rsidR="00BB1F46" w:rsidRPr="00E53DC4" w:rsidRDefault="00BB1F46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CB973" w14:textId="77777777" w:rsidR="004D15A9" w:rsidRPr="00E53DC4" w:rsidRDefault="004D15A9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5721" w14:textId="77777777" w:rsidR="00DA6D7A" w:rsidRPr="00E53DC4" w:rsidRDefault="00DA6D7A" w:rsidP="00DA6D7A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z w:val="24"/>
          <w:szCs w:val="24"/>
        </w:rPr>
      </w:pPr>
      <w:r w:rsidRPr="00E53DC4">
        <w:rPr>
          <w:rStyle w:val="a"/>
          <w:rFonts w:ascii="Times New Roman" w:hAnsi="Times New Roman"/>
          <w:sz w:val="24"/>
          <w:szCs w:val="24"/>
        </w:rPr>
        <w:t>Iesniedzējs:</w:t>
      </w:r>
    </w:p>
    <w:p w14:paraId="0B626B7A" w14:textId="77777777" w:rsidR="00DA6D7A" w:rsidRPr="00E53DC4" w:rsidRDefault="001E5C0A" w:rsidP="00DA6D7A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E53DC4">
        <w:rPr>
          <w:rStyle w:val="a"/>
          <w:rFonts w:ascii="Times New Roman" w:hAnsi="Times New Roman"/>
          <w:sz w:val="24"/>
          <w:szCs w:val="24"/>
        </w:rPr>
        <w:t>Tieslietu ministrijas valsts sekretārs</w:t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Pr="00E53DC4">
        <w:rPr>
          <w:rStyle w:val="a"/>
          <w:rFonts w:ascii="Times New Roman" w:hAnsi="Times New Roman"/>
          <w:sz w:val="24"/>
          <w:szCs w:val="24"/>
        </w:rPr>
        <w:t>Raivis Kronbergs</w:t>
      </w:r>
    </w:p>
    <w:p w14:paraId="59C1DCAB" w14:textId="77777777" w:rsidR="007C66CC" w:rsidRPr="002D5CE3" w:rsidRDefault="007C66CC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B728B" w14:textId="77777777" w:rsidR="007C66CC" w:rsidRPr="002D5CE3" w:rsidRDefault="007C66CC" w:rsidP="00C8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64A4F" w14:textId="53181C55" w:rsidR="00DA6D7A" w:rsidRPr="002D5CE3" w:rsidRDefault="000977D1" w:rsidP="00DA6D7A">
      <w:pPr>
        <w:pStyle w:val="Bezatstarpm"/>
        <w:rPr>
          <w:rFonts w:ascii="Times New Roman" w:hAnsi="Times New Roman"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/>
          <w:iCs/>
          <w:color w:val="auto"/>
          <w:sz w:val="20"/>
          <w:szCs w:val="20"/>
          <w:lang w:val="lv-LV"/>
        </w:rPr>
        <w:t>Paegle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lv-LV"/>
        </w:rPr>
        <w:t xml:space="preserve"> 67</w:t>
      </w:r>
      <w:r>
        <w:rPr>
          <w:rFonts w:ascii="Times New Roman" w:hAnsi="Times New Roman"/>
          <w:iCs/>
          <w:color w:val="auto"/>
          <w:sz w:val="20"/>
          <w:szCs w:val="20"/>
          <w:lang w:val="lv-LV"/>
        </w:rPr>
        <w:t>686020</w:t>
      </w:r>
    </w:p>
    <w:p w14:paraId="427DB6CE" w14:textId="0D9988A4" w:rsidR="008E224A" w:rsidRPr="002D5CE3" w:rsidRDefault="000977D1">
      <w:pPr>
        <w:pStyle w:val="Bezatstarpm"/>
        <w:rPr>
          <w:color w:val="auto"/>
          <w:lang w:val="en-US"/>
        </w:rPr>
      </w:pPr>
      <w:r>
        <w:rPr>
          <w:rFonts w:ascii="Times New Roman" w:hAnsi="Times New Roman"/>
          <w:iCs/>
          <w:color w:val="auto"/>
          <w:sz w:val="20"/>
          <w:szCs w:val="20"/>
          <w:lang w:val="en-US"/>
        </w:rPr>
        <w:t>Kristine.Paegle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en-US"/>
        </w:rPr>
        <w:t>@</w:t>
      </w:r>
      <w:r>
        <w:rPr>
          <w:rFonts w:ascii="Times New Roman" w:hAnsi="Times New Roman"/>
          <w:iCs/>
          <w:color w:val="auto"/>
          <w:sz w:val="20"/>
          <w:szCs w:val="20"/>
          <w:lang w:val="en-US"/>
        </w:rPr>
        <w:t>dvi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en-US"/>
        </w:rPr>
        <w:t>.gov.lv</w:t>
      </w:r>
    </w:p>
    <w:sectPr w:rsidR="008E224A" w:rsidRPr="002D5CE3" w:rsidSect="004D15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60E8" w14:textId="77777777" w:rsidR="00350F1C" w:rsidRDefault="00350F1C" w:rsidP="004D15A9">
      <w:pPr>
        <w:spacing w:after="0" w:line="240" w:lineRule="auto"/>
      </w:pPr>
      <w:r>
        <w:separator/>
      </w:r>
    </w:p>
  </w:endnote>
  <w:endnote w:type="continuationSeparator" w:id="0">
    <w:p w14:paraId="6B351495" w14:textId="77777777" w:rsidR="00350F1C" w:rsidRDefault="00350F1C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C31A" w14:textId="77777777" w:rsidR="00035B3C" w:rsidRDefault="00035B3C" w:rsidP="0042645D">
    <w:pPr>
      <w:pStyle w:val="Kjene"/>
      <w:rPr>
        <w:rFonts w:ascii="Times New Roman" w:hAnsi="Times New Roman" w:cs="Times New Roman"/>
        <w:sz w:val="20"/>
        <w:szCs w:val="20"/>
      </w:rPr>
    </w:pPr>
  </w:p>
  <w:p w14:paraId="773B94EF" w14:textId="1C395AD4" w:rsidR="00035B3C" w:rsidRPr="0042645D" w:rsidRDefault="00035B3C" w:rsidP="00DF54AB">
    <w:pPr>
      <w:pStyle w:val="Kjene"/>
    </w:pPr>
    <w:r w:rsidRPr="00DF54AB">
      <w:rPr>
        <w:rFonts w:ascii="Times New Roman" w:hAnsi="Times New Roman" w:cs="Times New Roman"/>
        <w:noProof/>
        <w:sz w:val="20"/>
        <w:szCs w:val="20"/>
      </w:rPr>
      <w:t>TMAnot_</w:t>
    </w:r>
    <w:r w:rsidR="0010562D">
      <w:rPr>
        <w:rFonts w:ascii="Times New Roman" w:hAnsi="Times New Roman" w:cs="Times New Roman"/>
        <w:noProof/>
        <w:sz w:val="20"/>
        <w:szCs w:val="20"/>
      </w:rPr>
      <w:t>21</w:t>
    </w:r>
    <w:r w:rsidR="00CC740C">
      <w:rPr>
        <w:rFonts w:ascii="Times New Roman" w:hAnsi="Times New Roman" w:cs="Times New Roman"/>
        <w:noProof/>
        <w:sz w:val="20"/>
        <w:szCs w:val="20"/>
      </w:rPr>
      <w:t>06</w:t>
    </w:r>
    <w:r w:rsidR="00CC740C" w:rsidRPr="00DF54AB">
      <w:rPr>
        <w:rFonts w:ascii="Times New Roman" w:hAnsi="Times New Roman" w:cs="Times New Roman"/>
        <w:noProof/>
        <w:sz w:val="20"/>
        <w:szCs w:val="20"/>
      </w:rPr>
      <w:t>21</w:t>
    </w:r>
    <w:r w:rsidRPr="00DF54AB">
      <w:rPr>
        <w:rFonts w:ascii="Times New Roman" w:hAnsi="Times New Roman" w:cs="Times New Roman"/>
        <w:noProof/>
        <w:sz w:val="20"/>
        <w:szCs w:val="20"/>
      </w:rPr>
      <w:t>_kodekss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FF29" w14:textId="71ED323E" w:rsidR="00035B3C" w:rsidRPr="000A7612" w:rsidRDefault="00035B3C" w:rsidP="000A7612">
    <w:pPr>
      <w:pStyle w:val="Kjene"/>
    </w:pP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2D5CE3">
      <w:rPr>
        <w:rFonts w:ascii="Times New Roman" w:hAnsi="Times New Roman" w:cs="Times New Roman"/>
        <w:noProof/>
        <w:sz w:val="20"/>
        <w:szCs w:val="20"/>
      </w:rPr>
      <w:t>TMAnot_</w:t>
    </w:r>
    <w:r w:rsidR="0010562D">
      <w:rPr>
        <w:rFonts w:ascii="Times New Roman" w:hAnsi="Times New Roman" w:cs="Times New Roman"/>
        <w:noProof/>
        <w:sz w:val="20"/>
        <w:szCs w:val="20"/>
      </w:rPr>
      <w:t>21</w:t>
    </w:r>
    <w:r w:rsidR="00CC740C">
      <w:rPr>
        <w:rFonts w:ascii="Times New Roman" w:hAnsi="Times New Roman" w:cs="Times New Roman"/>
        <w:noProof/>
        <w:sz w:val="20"/>
        <w:szCs w:val="20"/>
      </w:rPr>
      <w:t>0621</w:t>
    </w:r>
    <w:r>
      <w:rPr>
        <w:rFonts w:ascii="Times New Roman" w:hAnsi="Times New Roman" w:cs="Times New Roman"/>
        <w:noProof/>
        <w:sz w:val="20"/>
        <w:szCs w:val="20"/>
      </w:rPr>
      <w:t>_kodekss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6BFE" w14:textId="77777777" w:rsidR="00350F1C" w:rsidRDefault="00350F1C" w:rsidP="004D15A9">
      <w:pPr>
        <w:spacing w:after="0" w:line="240" w:lineRule="auto"/>
      </w:pPr>
      <w:r>
        <w:separator/>
      </w:r>
    </w:p>
  </w:footnote>
  <w:footnote w:type="continuationSeparator" w:id="0">
    <w:p w14:paraId="21A0A679" w14:textId="77777777" w:rsidR="00350F1C" w:rsidRDefault="00350F1C" w:rsidP="004D15A9">
      <w:pPr>
        <w:spacing w:after="0" w:line="240" w:lineRule="auto"/>
      </w:pPr>
      <w:r>
        <w:continuationSeparator/>
      </w:r>
    </w:p>
  </w:footnote>
  <w:footnote w:id="1">
    <w:p w14:paraId="342A273E" w14:textId="5BAF1ED1" w:rsidR="00035B3C" w:rsidRDefault="00035B3C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F3A34">
          <w:rPr>
            <w:rStyle w:val="Hipersaite"/>
          </w:rPr>
          <w:t>https://edpb.europa.eu/sites/default/files/files/file1/edpb_guidelines_201901_v2.0_codesofconduct_lv.pdf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EB66E8" w14:textId="513C1560" w:rsidR="00035B3C" w:rsidRPr="004D15A9" w:rsidRDefault="00035B3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7C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D7CDB1" w14:textId="77777777" w:rsidR="00035B3C" w:rsidRDefault="00035B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AD4"/>
    <w:multiLevelType w:val="hybridMultilevel"/>
    <w:tmpl w:val="CBE23B5E"/>
    <w:lvl w:ilvl="0" w:tplc="042EBE08">
      <w:start w:val="1"/>
      <w:numFmt w:val="decimal"/>
      <w:lvlText w:val="%1."/>
      <w:lvlJc w:val="left"/>
      <w:pPr>
        <w:ind w:left="90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5" w:hanging="360"/>
      </w:pPr>
    </w:lvl>
    <w:lvl w:ilvl="2" w:tplc="0426001B" w:tentative="1">
      <w:start w:val="1"/>
      <w:numFmt w:val="lowerRoman"/>
      <w:lvlText w:val="%3."/>
      <w:lvlJc w:val="right"/>
      <w:pPr>
        <w:ind w:left="2345" w:hanging="180"/>
      </w:pPr>
    </w:lvl>
    <w:lvl w:ilvl="3" w:tplc="0426000F" w:tentative="1">
      <w:start w:val="1"/>
      <w:numFmt w:val="decimal"/>
      <w:lvlText w:val="%4."/>
      <w:lvlJc w:val="left"/>
      <w:pPr>
        <w:ind w:left="3065" w:hanging="360"/>
      </w:pPr>
    </w:lvl>
    <w:lvl w:ilvl="4" w:tplc="04260019" w:tentative="1">
      <w:start w:val="1"/>
      <w:numFmt w:val="lowerLetter"/>
      <w:lvlText w:val="%5."/>
      <w:lvlJc w:val="left"/>
      <w:pPr>
        <w:ind w:left="3785" w:hanging="360"/>
      </w:pPr>
    </w:lvl>
    <w:lvl w:ilvl="5" w:tplc="0426001B" w:tentative="1">
      <w:start w:val="1"/>
      <w:numFmt w:val="lowerRoman"/>
      <w:lvlText w:val="%6."/>
      <w:lvlJc w:val="right"/>
      <w:pPr>
        <w:ind w:left="4505" w:hanging="180"/>
      </w:pPr>
    </w:lvl>
    <w:lvl w:ilvl="6" w:tplc="0426000F" w:tentative="1">
      <w:start w:val="1"/>
      <w:numFmt w:val="decimal"/>
      <w:lvlText w:val="%7."/>
      <w:lvlJc w:val="left"/>
      <w:pPr>
        <w:ind w:left="5225" w:hanging="360"/>
      </w:pPr>
    </w:lvl>
    <w:lvl w:ilvl="7" w:tplc="04260019" w:tentative="1">
      <w:start w:val="1"/>
      <w:numFmt w:val="lowerLetter"/>
      <w:lvlText w:val="%8."/>
      <w:lvlJc w:val="left"/>
      <w:pPr>
        <w:ind w:left="5945" w:hanging="360"/>
      </w:pPr>
    </w:lvl>
    <w:lvl w:ilvl="8" w:tplc="0426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 w15:restartNumberingAfterBreak="0">
    <w:nsid w:val="40F408D1"/>
    <w:multiLevelType w:val="hybridMultilevel"/>
    <w:tmpl w:val="327627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4554"/>
    <w:multiLevelType w:val="hybridMultilevel"/>
    <w:tmpl w:val="B238B2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A9"/>
    <w:rsid w:val="00003F41"/>
    <w:rsid w:val="00004728"/>
    <w:rsid w:val="00005006"/>
    <w:rsid w:val="0001194A"/>
    <w:rsid w:val="00013CB8"/>
    <w:rsid w:val="00015A71"/>
    <w:rsid w:val="000213A8"/>
    <w:rsid w:val="00031256"/>
    <w:rsid w:val="000322D4"/>
    <w:rsid w:val="0003507E"/>
    <w:rsid w:val="00035B3C"/>
    <w:rsid w:val="00050F13"/>
    <w:rsid w:val="00061739"/>
    <w:rsid w:val="000622B7"/>
    <w:rsid w:val="000835FC"/>
    <w:rsid w:val="00084207"/>
    <w:rsid w:val="00087511"/>
    <w:rsid w:val="000977D1"/>
    <w:rsid w:val="000A7612"/>
    <w:rsid w:val="000B1D24"/>
    <w:rsid w:val="000C01AD"/>
    <w:rsid w:val="000C0453"/>
    <w:rsid w:val="000C71A2"/>
    <w:rsid w:val="000D0481"/>
    <w:rsid w:val="000D0867"/>
    <w:rsid w:val="000E3461"/>
    <w:rsid w:val="000E42FD"/>
    <w:rsid w:val="000E4A8D"/>
    <w:rsid w:val="000F3F17"/>
    <w:rsid w:val="000F4199"/>
    <w:rsid w:val="000F55B5"/>
    <w:rsid w:val="000F665B"/>
    <w:rsid w:val="000F7F3E"/>
    <w:rsid w:val="00101CD5"/>
    <w:rsid w:val="0010562D"/>
    <w:rsid w:val="001074E3"/>
    <w:rsid w:val="001111FC"/>
    <w:rsid w:val="00114510"/>
    <w:rsid w:val="00115DC8"/>
    <w:rsid w:val="00120060"/>
    <w:rsid w:val="001209B8"/>
    <w:rsid w:val="00121719"/>
    <w:rsid w:val="00124568"/>
    <w:rsid w:val="00131963"/>
    <w:rsid w:val="001328FE"/>
    <w:rsid w:val="001414EE"/>
    <w:rsid w:val="0014579A"/>
    <w:rsid w:val="0014790E"/>
    <w:rsid w:val="00155726"/>
    <w:rsid w:val="0017241E"/>
    <w:rsid w:val="001749C9"/>
    <w:rsid w:val="00182B4E"/>
    <w:rsid w:val="00185F7D"/>
    <w:rsid w:val="00187072"/>
    <w:rsid w:val="00187E60"/>
    <w:rsid w:val="0019001A"/>
    <w:rsid w:val="00190E3C"/>
    <w:rsid w:val="001941B2"/>
    <w:rsid w:val="00194778"/>
    <w:rsid w:val="00195F94"/>
    <w:rsid w:val="001A09AF"/>
    <w:rsid w:val="001A232C"/>
    <w:rsid w:val="001A553D"/>
    <w:rsid w:val="001A7C64"/>
    <w:rsid w:val="001A7F58"/>
    <w:rsid w:val="001B77CB"/>
    <w:rsid w:val="001C2502"/>
    <w:rsid w:val="001C5969"/>
    <w:rsid w:val="001C5D34"/>
    <w:rsid w:val="001D15B8"/>
    <w:rsid w:val="001E31C1"/>
    <w:rsid w:val="001E5C0A"/>
    <w:rsid w:val="001F5122"/>
    <w:rsid w:val="001F51F4"/>
    <w:rsid w:val="001F6463"/>
    <w:rsid w:val="001F68D7"/>
    <w:rsid w:val="00200881"/>
    <w:rsid w:val="0020274F"/>
    <w:rsid w:val="00220682"/>
    <w:rsid w:val="00220973"/>
    <w:rsid w:val="00223E1F"/>
    <w:rsid w:val="00224A19"/>
    <w:rsid w:val="00224EEC"/>
    <w:rsid w:val="0022750A"/>
    <w:rsid w:val="00230100"/>
    <w:rsid w:val="00233375"/>
    <w:rsid w:val="002347E2"/>
    <w:rsid w:val="00236347"/>
    <w:rsid w:val="00242A4C"/>
    <w:rsid w:val="002448DC"/>
    <w:rsid w:val="00244D16"/>
    <w:rsid w:val="00247035"/>
    <w:rsid w:val="00247C39"/>
    <w:rsid w:val="00254F26"/>
    <w:rsid w:val="00254FD8"/>
    <w:rsid w:val="0026261F"/>
    <w:rsid w:val="00270091"/>
    <w:rsid w:val="0027159F"/>
    <w:rsid w:val="002720DC"/>
    <w:rsid w:val="00272726"/>
    <w:rsid w:val="00277E1E"/>
    <w:rsid w:val="002827FB"/>
    <w:rsid w:val="00282C31"/>
    <w:rsid w:val="00283626"/>
    <w:rsid w:val="0028659E"/>
    <w:rsid w:val="002A7512"/>
    <w:rsid w:val="002B2463"/>
    <w:rsid w:val="002B25CB"/>
    <w:rsid w:val="002B4252"/>
    <w:rsid w:val="002B455A"/>
    <w:rsid w:val="002B4E6A"/>
    <w:rsid w:val="002B7889"/>
    <w:rsid w:val="002C0C09"/>
    <w:rsid w:val="002C7887"/>
    <w:rsid w:val="002D1608"/>
    <w:rsid w:val="002D2374"/>
    <w:rsid w:val="002D5CE3"/>
    <w:rsid w:val="002D6B92"/>
    <w:rsid w:val="002E310B"/>
    <w:rsid w:val="002F3AFC"/>
    <w:rsid w:val="002F5344"/>
    <w:rsid w:val="002F5AB1"/>
    <w:rsid w:val="00300310"/>
    <w:rsid w:val="00300395"/>
    <w:rsid w:val="0030082F"/>
    <w:rsid w:val="00301570"/>
    <w:rsid w:val="003033DE"/>
    <w:rsid w:val="00306F1E"/>
    <w:rsid w:val="00310008"/>
    <w:rsid w:val="00333E04"/>
    <w:rsid w:val="0033546F"/>
    <w:rsid w:val="003361CE"/>
    <w:rsid w:val="0033680D"/>
    <w:rsid w:val="00340E35"/>
    <w:rsid w:val="00350F1C"/>
    <w:rsid w:val="0035199A"/>
    <w:rsid w:val="003545EB"/>
    <w:rsid w:val="0036166D"/>
    <w:rsid w:val="0036267D"/>
    <w:rsid w:val="00364514"/>
    <w:rsid w:val="003707AF"/>
    <w:rsid w:val="003803BC"/>
    <w:rsid w:val="00387516"/>
    <w:rsid w:val="0039110D"/>
    <w:rsid w:val="00391947"/>
    <w:rsid w:val="003922B0"/>
    <w:rsid w:val="00396186"/>
    <w:rsid w:val="0039649C"/>
    <w:rsid w:val="003A2A0B"/>
    <w:rsid w:val="003A3EEF"/>
    <w:rsid w:val="003A505D"/>
    <w:rsid w:val="003A62DB"/>
    <w:rsid w:val="003B3260"/>
    <w:rsid w:val="003B4BE5"/>
    <w:rsid w:val="003B6749"/>
    <w:rsid w:val="003C111D"/>
    <w:rsid w:val="003C502D"/>
    <w:rsid w:val="003C766D"/>
    <w:rsid w:val="003D48FB"/>
    <w:rsid w:val="003D7189"/>
    <w:rsid w:val="003E2D36"/>
    <w:rsid w:val="003E54EF"/>
    <w:rsid w:val="003E5DAE"/>
    <w:rsid w:val="003F2201"/>
    <w:rsid w:val="0042645D"/>
    <w:rsid w:val="0043541A"/>
    <w:rsid w:val="00435C70"/>
    <w:rsid w:val="00436569"/>
    <w:rsid w:val="00440835"/>
    <w:rsid w:val="004426D6"/>
    <w:rsid w:val="00442F09"/>
    <w:rsid w:val="0046060E"/>
    <w:rsid w:val="00461275"/>
    <w:rsid w:val="00461E1A"/>
    <w:rsid w:val="00466A3D"/>
    <w:rsid w:val="0048749A"/>
    <w:rsid w:val="0049556C"/>
    <w:rsid w:val="004957C5"/>
    <w:rsid w:val="00495E82"/>
    <w:rsid w:val="004A68FC"/>
    <w:rsid w:val="004C17F9"/>
    <w:rsid w:val="004C3B12"/>
    <w:rsid w:val="004D15A9"/>
    <w:rsid w:val="004D1B33"/>
    <w:rsid w:val="004D4028"/>
    <w:rsid w:val="004E16EC"/>
    <w:rsid w:val="004F3FF2"/>
    <w:rsid w:val="004F61E7"/>
    <w:rsid w:val="004F7100"/>
    <w:rsid w:val="00501F9B"/>
    <w:rsid w:val="00506A77"/>
    <w:rsid w:val="0051017C"/>
    <w:rsid w:val="00515CEE"/>
    <w:rsid w:val="00520014"/>
    <w:rsid w:val="00525682"/>
    <w:rsid w:val="00527FA0"/>
    <w:rsid w:val="00535BD8"/>
    <w:rsid w:val="00540E69"/>
    <w:rsid w:val="005441AE"/>
    <w:rsid w:val="00544BF6"/>
    <w:rsid w:val="005524B0"/>
    <w:rsid w:val="0055392D"/>
    <w:rsid w:val="00554AA9"/>
    <w:rsid w:val="00556DA5"/>
    <w:rsid w:val="0056459F"/>
    <w:rsid w:val="00565B1A"/>
    <w:rsid w:val="00567779"/>
    <w:rsid w:val="005713A0"/>
    <w:rsid w:val="00572985"/>
    <w:rsid w:val="005814B7"/>
    <w:rsid w:val="0059057E"/>
    <w:rsid w:val="00594D4E"/>
    <w:rsid w:val="00595516"/>
    <w:rsid w:val="005957B3"/>
    <w:rsid w:val="005A4011"/>
    <w:rsid w:val="005B2E5E"/>
    <w:rsid w:val="005B3578"/>
    <w:rsid w:val="005B74A8"/>
    <w:rsid w:val="005B7DBE"/>
    <w:rsid w:val="005C0266"/>
    <w:rsid w:val="005D0A86"/>
    <w:rsid w:val="005D4E8A"/>
    <w:rsid w:val="005E0809"/>
    <w:rsid w:val="005E1DEE"/>
    <w:rsid w:val="005E4BCD"/>
    <w:rsid w:val="005E6248"/>
    <w:rsid w:val="005E636C"/>
    <w:rsid w:val="005F43E0"/>
    <w:rsid w:val="005F65B2"/>
    <w:rsid w:val="00612A92"/>
    <w:rsid w:val="006130BD"/>
    <w:rsid w:val="006149A2"/>
    <w:rsid w:val="006315E6"/>
    <w:rsid w:val="00633EEC"/>
    <w:rsid w:val="006373B7"/>
    <w:rsid w:val="00641D8F"/>
    <w:rsid w:val="00642AAF"/>
    <w:rsid w:val="00643163"/>
    <w:rsid w:val="006445E1"/>
    <w:rsid w:val="006463EF"/>
    <w:rsid w:val="00646CC0"/>
    <w:rsid w:val="006507FC"/>
    <w:rsid w:val="0065696D"/>
    <w:rsid w:val="0065749C"/>
    <w:rsid w:val="00657B2C"/>
    <w:rsid w:val="00660119"/>
    <w:rsid w:val="006641E1"/>
    <w:rsid w:val="006648D7"/>
    <w:rsid w:val="00677CD5"/>
    <w:rsid w:val="006920BD"/>
    <w:rsid w:val="00694CC7"/>
    <w:rsid w:val="006956DE"/>
    <w:rsid w:val="006975B4"/>
    <w:rsid w:val="006C55E0"/>
    <w:rsid w:val="006D7BE0"/>
    <w:rsid w:val="006E27E3"/>
    <w:rsid w:val="006E461B"/>
    <w:rsid w:val="006E5906"/>
    <w:rsid w:val="006E5C23"/>
    <w:rsid w:val="006E65ED"/>
    <w:rsid w:val="006F2078"/>
    <w:rsid w:val="00704409"/>
    <w:rsid w:val="007047F3"/>
    <w:rsid w:val="00716EFF"/>
    <w:rsid w:val="00723F61"/>
    <w:rsid w:val="00725862"/>
    <w:rsid w:val="0073617D"/>
    <w:rsid w:val="007370B0"/>
    <w:rsid w:val="0073730D"/>
    <w:rsid w:val="00740CDA"/>
    <w:rsid w:val="007435E5"/>
    <w:rsid w:val="007548D7"/>
    <w:rsid w:val="00760D97"/>
    <w:rsid w:val="00760DD8"/>
    <w:rsid w:val="00762561"/>
    <w:rsid w:val="007636FA"/>
    <w:rsid w:val="007649E2"/>
    <w:rsid w:val="00765B3F"/>
    <w:rsid w:val="0077004F"/>
    <w:rsid w:val="00772B7D"/>
    <w:rsid w:val="007913E9"/>
    <w:rsid w:val="00793050"/>
    <w:rsid w:val="007A3F4D"/>
    <w:rsid w:val="007A569F"/>
    <w:rsid w:val="007A7A98"/>
    <w:rsid w:val="007B4295"/>
    <w:rsid w:val="007C0A91"/>
    <w:rsid w:val="007C4BE2"/>
    <w:rsid w:val="007C66CC"/>
    <w:rsid w:val="007C76FD"/>
    <w:rsid w:val="007C7B9E"/>
    <w:rsid w:val="007D433A"/>
    <w:rsid w:val="007D6811"/>
    <w:rsid w:val="007E0DE5"/>
    <w:rsid w:val="007E37EC"/>
    <w:rsid w:val="007E5DEC"/>
    <w:rsid w:val="007F7266"/>
    <w:rsid w:val="007F7DC6"/>
    <w:rsid w:val="008025DE"/>
    <w:rsid w:val="00804B9C"/>
    <w:rsid w:val="00811DA5"/>
    <w:rsid w:val="0081203F"/>
    <w:rsid w:val="00815AD6"/>
    <w:rsid w:val="00815DB2"/>
    <w:rsid w:val="008173C7"/>
    <w:rsid w:val="0082499F"/>
    <w:rsid w:val="0083593C"/>
    <w:rsid w:val="00841836"/>
    <w:rsid w:val="008443F6"/>
    <w:rsid w:val="00850FEF"/>
    <w:rsid w:val="0085418B"/>
    <w:rsid w:val="008551D6"/>
    <w:rsid w:val="00863689"/>
    <w:rsid w:val="00863CC4"/>
    <w:rsid w:val="0086494F"/>
    <w:rsid w:val="008761C6"/>
    <w:rsid w:val="00881969"/>
    <w:rsid w:val="00881B4D"/>
    <w:rsid w:val="008826E9"/>
    <w:rsid w:val="0088649F"/>
    <w:rsid w:val="008935CB"/>
    <w:rsid w:val="008A34D0"/>
    <w:rsid w:val="008A5F3F"/>
    <w:rsid w:val="008A6261"/>
    <w:rsid w:val="008C0B5E"/>
    <w:rsid w:val="008C32BA"/>
    <w:rsid w:val="008C56F0"/>
    <w:rsid w:val="008C6CDA"/>
    <w:rsid w:val="008D670E"/>
    <w:rsid w:val="008E224A"/>
    <w:rsid w:val="008E32EC"/>
    <w:rsid w:val="008E4E93"/>
    <w:rsid w:val="008E6025"/>
    <w:rsid w:val="008E78B2"/>
    <w:rsid w:val="008F2142"/>
    <w:rsid w:val="008F2D82"/>
    <w:rsid w:val="0090043C"/>
    <w:rsid w:val="009045DF"/>
    <w:rsid w:val="00905488"/>
    <w:rsid w:val="00906C25"/>
    <w:rsid w:val="00914D18"/>
    <w:rsid w:val="00922D42"/>
    <w:rsid w:val="0093239B"/>
    <w:rsid w:val="00936F54"/>
    <w:rsid w:val="009418D7"/>
    <w:rsid w:val="0094427E"/>
    <w:rsid w:val="00950758"/>
    <w:rsid w:val="009524DC"/>
    <w:rsid w:val="00952C82"/>
    <w:rsid w:val="00952D6D"/>
    <w:rsid w:val="00955366"/>
    <w:rsid w:val="00957322"/>
    <w:rsid w:val="00964EA7"/>
    <w:rsid w:val="0096746F"/>
    <w:rsid w:val="009679C9"/>
    <w:rsid w:val="00972D02"/>
    <w:rsid w:val="009739E6"/>
    <w:rsid w:val="0097690A"/>
    <w:rsid w:val="00980CD6"/>
    <w:rsid w:val="00981BD1"/>
    <w:rsid w:val="009878B5"/>
    <w:rsid w:val="00994142"/>
    <w:rsid w:val="00994A19"/>
    <w:rsid w:val="00997954"/>
    <w:rsid w:val="009A7997"/>
    <w:rsid w:val="009B3B1A"/>
    <w:rsid w:val="009B4460"/>
    <w:rsid w:val="009C22C0"/>
    <w:rsid w:val="009C7BE4"/>
    <w:rsid w:val="009D5B75"/>
    <w:rsid w:val="009D6504"/>
    <w:rsid w:val="009E2AE0"/>
    <w:rsid w:val="009F0416"/>
    <w:rsid w:val="009F5ADA"/>
    <w:rsid w:val="009F726E"/>
    <w:rsid w:val="00A02E0D"/>
    <w:rsid w:val="00A0707C"/>
    <w:rsid w:val="00A07505"/>
    <w:rsid w:val="00A1552F"/>
    <w:rsid w:val="00A15A15"/>
    <w:rsid w:val="00A22D13"/>
    <w:rsid w:val="00A40270"/>
    <w:rsid w:val="00A41212"/>
    <w:rsid w:val="00A628F5"/>
    <w:rsid w:val="00A671BF"/>
    <w:rsid w:val="00A71BEA"/>
    <w:rsid w:val="00A829B5"/>
    <w:rsid w:val="00A915D4"/>
    <w:rsid w:val="00AB6562"/>
    <w:rsid w:val="00AC4363"/>
    <w:rsid w:val="00AC4472"/>
    <w:rsid w:val="00AC5B51"/>
    <w:rsid w:val="00AD0D76"/>
    <w:rsid w:val="00AD1046"/>
    <w:rsid w:val="00AD7091"/>
    <w:rsid w:val="00AE412D"/>
    <w:rsid w:val="00AE61EB"/>
    <w:rsid w:val="00AF12DD"/>
    <w:rsid w:val="00AF2F68"/>
    <w:rsid w:val="00AF32FA"/>
    <w:rsid w:val="00B01171"/>
    <w:rsid w:val="00B067B9"/>
    <w:rsid w:val="00B06FF8"/>
    <w:rsid w:val="00B11E94"/>
    <w:rsid w:val="00B13391"/>
    <w:rsid w:val="00B16790"/>
    <w:rsid w:val="00B16AF4"/>
    <w:rsid w:val="00B17ADC"/>
    <w:rsid w:val="00B3067B"/>
    <w:rsid w:val="00B42761"/>
    <w:rsid w:val="00B42820"/>
    <w:rsid w:val="00B43071"/>
    <w:rsid w:val="00B46567"/>
    <w:rsid w:val="00B508FC"/>
    <w:rsid w:val="00B576F1"/>
    <w:rsid w:val="00B60611"/>
    <w:rsid w:val="00B64011"/>
    <w:rsid w:val="00B655D6"/>
    <w:rsid w:val="00B67C3C"/>
    <w:rsid w:val="00B7152B"/>
    <w:rsid w:val="00B80E07"/>
    <w:rsid w:val="00B81C6E"/>
    <w:rsid w:val="00B81FF4"/>
    <w:rsid w:val="00B8274C"/>
    <w:rsid w:val="00B83C87"/>
    <w:rsid w:val="00B94226"/>
    <w:rsid w:val="00B96A82"/>
    <w:rsid w:val="00B97D29"/>
    <w:rsid w:val="00BA4404"/>
    <w:rsid w:val="00BB1F46"/>
    <w:rsid w:val="00BC0E70"/>
    <w:rsid w:val="00BC2633"/>
    <w:rsid w:val="00BC286A"/>
    <w:rsid w:val="00BC52A4"/>
    <w:rsid w:val="00BC6A5E"/>
    <w:rsid w:val="00BC74BB"/>
    <w:rsid w:val="00BD2AFE"/>
    <w:rsid w:val="00BD49BD"/>
    <w:rsid w:val="00BF327D"/>
    <w:rsid w:val="00BF3A34"/>
    <w:rsid w:val="00BF4220"/>
    <w:rsid w:val="00C15BE2"/>
    <w:rsid w:val="00C22230"/>
    <w:rsid w:val="00C32EA8"/>
    <w:rsid w:val="00C3514B"/>
    <w:rsid w:val="00C400BC"/>
    <w:rsid w:val="00C4101C"/>
    <w:rsid w:val="00C448C0"/>
    <w:rsid w:val="00C45B96"/>
    <w:rsid w:val="00C53459"/>
    <w:rsid w:val="00C541E0"/>
    <w:rsid w:val="00C60A25"/>
    <w:rsid w:val="00C627D7"/>
    <w:rsid w:val="00C65DB2"/>
    <w:rsid w:val="00C67CD6"/>
    <w:rsid w:val="00C73E3C"/>
    <w:rsid w:val="00C743B6"/>
    <w:rsid w:val="00C75D74"/>
    <w:rsid w:val="00C81490"/>
    <w:rsid w:val="00C839BB"/>
    <w:rsid w:val="00C94046"/>
    <w:rsid w:val="00CA699D"/>
    <w:rsid w:val="00CB531C"/>
    <w:rsid w:val="00CC740C"/>
    <w:rsid w:val="00CD171C"/>
    <w:rsid w:val="00CD5D4B"/>
    <w:rsid w:val="00CE5188"/>
    <w:rsid w:val="00D07F9A"/>
    <w:rsid w:val="00D100B8"/>
    <w:rsid w:val="00D10210"/>
    <w:rsid w:val="00D1107A"/>
    <w:rsid w:val="00D25C29"/>
    <w:rsid w:val="00D30BA4"/>
    <w:rsid w:val="00D313D5"/>
    <w:rsid w:val="00D404B1"/>
    <w:rsid w:val="00D4782B"/>
    <w:rsid w:val="00D65519"/>
    <w:rsid w:val="00D76AD3"/>
    <w:rsid w:val="00D81B8C"/>
    <w:rsid w:val="00D86AA0"/>
    <w:rsid w:val="00D874F4"/>
    <w:rsid w:val="00D907CB"/>
    <w:rsid w:val="00D95BFF"/>
    <w:rsid w:val="00DA326E"/>
    <w:rsid w:val="00DA52AC"/>
    <w:rsid w:val="00DA596D"/>
    <w:rsid w:val="00DA6D7A"/>
    <w:rsid w:val="00DB0B04"/>
    <w:rsid w:val="00DB0F63"/>
    <w:rsid w:val="00DB3E4E"/>
    <w:rsid w:val="00DB5C67"/>
    <w:rsid w:val="00DD3CC0"/>
    <w:rsid w:val="00DE78C6"/>
    <w:rsid w:val="00DF0797"/>
    <w:rsid w:val="00DF54AB"/>
    <w:rsid w:val="00E00D49"/>
    <w:rsid w:val="00E03280"/>
    <w:rsid w:val="00E03C33"/>
    <w:rsid w:val="00E1265A"/>
    <w:rsid w:val="00E13294"/>
    <w:rsid w:val="00E132A2"/>
    <w:rsid w:val="00E13BCB"/>
    <w:rsid w:val="00E16942"/>
    <w:rsid w:val="00E30A04"/>
    <w:rsid w:val="00E44C94"/>
    <w:rsid w:val="00E515DE"/>
    <w:rsid w:val="00E53DC4"/>
    <w:rsid w:val="00E543B2"/>
    <w:rsid w:val="00E557CC"/>
    <w:rsid w:val="00E5586E"/>
    <w:rsid w:val="00E60A9B"/>
    <w:rsid w:val="00E6534C"/>
    <w:rsid w:val="00E70935"/>
    <w:rsid w:val="00E75133"/>
    <w:rsid w:val="00E756C8"/>
    <w:rsid w:val="00E8030E"/>
    <w:rsid w:val="00E85B44"/>
    <w:rsid w:val="00E86A6B"/>
    <w:rsid w:val="00E9181C"/>
    <w:rsid w:val="00E94100"/>
    <w:rsid w:val="00E96309"/>
    <w:rsid w:val="00EA2A34"/>
    <w:rsid w:val="00EA5009"/>
    <w:rsid w:val="00EA763C"/>
    <w:rsid w:val="00EB2975"/>
    <w:rsid w:val="00EB53FF"/>
    <w:rsid w:val="00EB7222"/>
    <w:rsid w:val="00EC47E9"/>
    <w:rsid w:val="00EC6EBE"/>
    <w:rsid w:val="00ED573E"/>
    <w:rsid w:val="00F04070"/>
    <w:rsid w:val="00F16429"/>
    <w:rsid w:val="00F1660D"/>
    <w:rsid w:val="00F17AC5"/>
    <w:rsid w:val="00F25A72"/>
    <w:rsid w:val="00F32BB1"/>
    <w:rsid w:val="00F3469A"/>
    <w:rsid w:val="00F361F6"/>
    <w:rsid w:val="00F438A4"/>
    <w:rsid w:val="00F43BF8"/>
    <w:rsid w:val="00F45649"/>
    <w:rsid w:val="00F465E2"/>
    <w:rsid w:val="00F46D5C"/>
    <w:rsid w:val="00F53CEF"/>
    <w:rsid w:val="00F60C6F"/>
    <w:rsid w:val="00F6224D"/>
    <w:rsid w:val="00F625B9"/>
    <w:rsid w:val="00F64872"/>
    <w:rsid w:val="00F64DB9"/>
    <w:rsid w:val="00F72750"/>
    <w:rsid w:val="00F75E04"/>
    <w:rsid w:val="00F76248"/>
    <w:rsid w:val="00F91583"/>
    <w:rsid w:val="00F928C4"/>
    <w:rsid w:val="00F95922"/>
    <w:rsid w:val="00F96696"/>
    <w:rsid w:val="00F97DBE"/>
    <w:rsid w:val="00FB2959"/>
    <w:rsid w:val="00FC3DF5"/>
    <w:rsid w:val="00FC5F48"/>
    <w:rsid w:val="00FE1BCC"/>
    <w:rsid w:val="00FE3241"/>
    <w:rsid w:val="00FE6462"/>
    <w:rsid w:val="00FF425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8298"/>
  <w15:docId w15:val="{EFFE5756-A252-4790-B637-F843FCA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6A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customStyle="1" w:styleId="labojumupamats1">
    <w:name w:val="labojumu_pamats1"/>
    <w:basedOn w:val="Parasts"/>
    <w:rsid w:val="00515CEE"/>
    <w:pPr>
      <w:spacing w:before="45" w:after="0" w:line="312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customStyle="1" w:styleId="tvhtml1">
    <w:name w:val="tv_html1"/>
    <w:basedOn w:val="Parasts"/>
    <w:rsid w:val="00515CEE"/>
    <w:pPr>
      <w:spacing w:after="0" w:line="312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AB656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E4E93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3A34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E78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E78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E78B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E78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E78B2"/>
    <w:rPr>
      <w:b/>
      <w:bCs/>
      <w:sz w:val="20"/>
      <w:szCs w:val="20"/>
    </w:rPr>
  </w:style>
  <w:style w:type="paragraph" w:styleId="Bezatstarpm">
    <w:name w:val="No Spacing"/>
    <w:qFormat/>
    <w:rsid w:val="000350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character" w:customStyle="1" w:styleId="a">
    <w:name w:val="Нет"/>
    <w:rsid w:val="0003507E"/>
  </w:style>
  <w:style w:type="character" w:customStyle="1" w:styleId="Hyperlink0">
    <w:name w:val="Hyperlink.0"/>
    <w:basedOn w:val="a"/>
    <w:rsid w:val="0003507E"/>
    <w:rPr>
      <w:rFonts w:ascii="Times New Roman" w:eastAsia="Times New Roman" w:hAnsi="Times New Roman" w:cs="Times New Roman"/>
      <w:i/>
      <w:iCs/>
      <w:color w:val="16497B"/>
      <w:u w:color="16497B"/>
    </w:rPr>
  </w:style>
  <w:style w:type="character" w:customStyle="1" w:styleId="t3">
    <w:name w:val="t3"/>
    <w:basedOn w:val="Noklusjumarindkopasfonts"/>
    <w:rsid w:val="0003507E"/>
  </w:style>
  <w:style w:type="paragraph" w:customStyle="1" w:styleId="tv213">
    <w:name w:val="tv213"/>
    <w:basedOn w:val="Parasts"/>
    <w:rsid w:val="00F9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rskatjums">
    <w:name w:val="Revision"/>
    <w:hidden/>
    <w:uiPriority w:val="99"/>
    <w:semiHidden/>
    <w:rsid w:val="001E5C0A"/>
    <w:pPr>
      <w:spacing w:after="0" w:line="240" w:lineRule="auto"/>
    </w:pPr>
  </w:style>
  <w:style w:type="character" w:customStyle="1" w:styleId="Hyperlink1">
    <w:name w:val="Hyperlink.1"/>
    <w:basedOn w:val="a"/>
    <w:rsid w:val="008935CB"/>
    <w:rPr>
      <w:rFonts w:ascii="Times New Roman" w:eastAsia="Times New Roman" w:hAnsi="Times New Roman" w:cs="Times New Roman"/>
      <w:color w:val="16497B"/>
      <w:sz w:val="28"/>
      <w:szCs w:val="28"/>
      <w:u w:color="16497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B3B1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B3B1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9B3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905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77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3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pb.europa.eu/sites/default/files/files/file1/edpb_guidelines_201901_v2.0_codesofconduct_lv.pdf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D9BA-008D-4F22-84F8-829EA54E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12384</Words>
  <Characters>7059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"Rīcības kodeksa pārraudzības institūcijas licencēšanas noteikumi" sākotnējās ietekmes novērtējuma ziņojums (anotācija)</vt:lpstr>
      <vt:lpstr>Ministru kabineta noteikumu projekta "Rīcības kodeksa pārraudzības institūcijas licencēšanas noteikumi" sākotnējās ietekmes novērtējuma ziņojums (anotācija)</vt:lpstr>
    </vt:vector>
  </TitlesOfParts>
  <Company>Datu valsts inspekcija</Company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"Rīcības kodeksa pārraudzības institūcijas licencēšanas noteikumi" sākotnējās ietekmes novērtējuma ziņojums (anotācija)</dc:title>
  <dc:subject>Anotācija</dc:subject>
  <dc:creator>Kristīne Paegle</dc:creator>
  <dc:description>67686020, Kristine.Paegle@dvi.gov.lv</dc:description>
  <cp:lastModifiedBy>Lana Mauliņa</cp:lastModifiedBy>
  <cp:revision>2</cp:revision>
  <cp:lastPrinted>2013-12-16T08:57:00Z</cp:lastPrinted>
  <dcterms:created xsi:type="dcterms:W3CDTF">2021-07-29T15:03:00Z</dcterms:created>
  <dcterms:modified xsi:type="dcterms:W3CDTF">2021-07-29T15:03:00Z</dcterms:modified>
</cp:coreProperties>
</file>