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5C81" w14:textId="77777777" w:rsidR="003735E8" w:rsidRPr="003735E8" w:rsidRDefault="003735E8" w:rsidP="003735E8">
      <w:pPr>
        <w:spacing w:after="0" w:line="240" w:lineRule="auto"/>
        <w:contextualSpacing/>
        <w:jc w:val="center"/>
        <w:rPr>
          <w:rFonts w:ascii="Times New Roman" w:hAnsi="Times New Roman" w:cs="Times New Roman"/>
          <w:b/>
          <w:bCs/>
          <w:color w:val="000000" w:themeColor="text1"/>
          <w:sz w:val="24"/>
          <w:szCs w:val="24"/>
        </w:rPr>
      </w:pPr>
      <w:r>
        <w:rPr>
          <w:rFonts w:ascii="Times New Roman" w:eastAsiaTheme="minorEastAsia" w:hAnsi="Times New Roman" w:cs="Times New Roman"/>
          <w:b/>
          <w:bCs/>
          <w:sz w:val="24"/>
          <w:szCs w:val="24"/>
          <w:shd w:val="clear" w:color="auto" w:fill="FFFFFF"/>
          <w:lang w:eastAsia="lv-LV"/>
        </w:rPr>
        <w:t xml:space="preserve">Ministru kabineta noteikumu projekts </w:t>
      </w:r>
      <w:r w:rsidRPr="003735E8">
        <w:rPr>
          <w:rFonts w:ascii="Times New Roman" w:eastAsia="Calibri" w:hAnsi="Times New Roman" w:cs="Times New Roman"/>
          <w:b/>
          <w:sz w:val="24"/>
          <w:szCs w:val="24"/>
          <w:lang w:eastAsia="lv-LV"/>
        </w:rPr>
        <w:t>"</w:t>
      </w:r>
      <w:r w:rsidRPr="003735E8">
        <w:rPr>
          <w:rFonts w:ascii="Times New Roman" w:hAnsi="Times New Roman" w:cs="Times New Roman"/>
          <w:b/>
          <w:bCs/>
          <w:color w:val="000000" w:themeColor="text1"/>
          <w:sz w:val="24"/>
          <w:szCs w:val="24"/>
        </w:rPr>
        <w:t>Grozījumi Ministru kabineta 2010. gada 30. novembra noteikumos Nr. 1075 "Valsts un pašvaldību institūciju amatu katalogs"</w:t>
      </w:r>
      <w:r w:rsidR="00B54CB8">
        <w:rPr>
          <w:rFonts w:ascii="Times New Roman" w:hAnsi="Times New Roman" w:cs="Times New Roman"/>
          <w:b/>
          <w:bCs/>
          <w:color w:val="000000" w:themeColor="text1"/>
          <w:sz w:val="24"/>
          <w:szCs w:val="24"/>
        </w:rPr>
        <w:t>"</w:t>
      </w:r>
      <w:r w:rsidRPr="003735E8">
        <w:rPr>
          <w:rFonts w:ascii="Times New Roman" w:hAnsi="Times New Roman" w:cs="Times New Roman"/>
          <w:b/>
          <w:bCs/>
          <w:color w:val="000000" w:themeColor="text1"/>
          <w:sz w:val="24"/>
          <w:szCs w:val="24"/>
        </w:rPr>
        <w:t xml:space="preserve"> </w:t>
      </w:r>
      <w:r w:rsidRPr="003735E8">
        <w:rPr>
          <w:rFonts w:ascii="Times New Roman" w:eastAsiaTheme="minorEastAsia" w:hAnsi="Times New Roman" w:cs="Times New Roman"/>
          <w:b/>
          <w:bCs/>
          <w:sz w:val="24"/>
          <w:szCs w:val="24"/>
          <w:shd w:val="clear" w:color="auto" w:fill="FFFFFF"/>
          <w:lang w:eastAsia="lv-LV"/>
        </w:rPr>
        <w:t>sākotnējās</w:t>
      </w:r>
      <w:r>
        <w:rPr>
          <w:rFonts w:ascii="Times New Roman" w:hAnsi="Times New Roman" w:cs="Times New Roman"/>
          <w:b/>
          <w:bCs/>
          <w:color w:val="000000" w:themeColor="text1"/>
          <w:sz w:val="24"/>
          <w:szCs w:val="24"/>
        </w:rPr>
        <w:t xml:space="preserve"> </w:t>
      </w:r>
      <w:r w:rsidRPr="003735E8">
        <w:rPr>
          <w:rFonts w:ascii="Times New Roman" w:eastAsiaTheme="minorEastAsia" w:hAnsi="Times New Roman" w:cs="Times New Roman"/>
          <w:b/>
          <w:bCs/>
          <w:sz w:val="24"/>
          <w:szCs w:val="24"/>
          <w:shd w:val="clear" w:color="auto" w:fill="FFFFFF"/>
          <w:lang w:eastAsia="lv-LV"/>
        </w:rPr>
        <w:t>ietekmes novērtējuma ziņojums (anotācija)</w:t>
      </w:r>
    </w:p>
    <w:p w14:paraId="5367C58F" w14:textId="77777777" w:rsidR="003735E8" w:rsidRPr="003735E8" w:rsidRDefault="003735E8" w:rsidP="003735E8">
      <w:pPr>
        <w:spacing w:after="0" w:line="240" w:lineRule="auto"/>
        <w:jc w:val="center"/>
        <w:rPr>
          <w:rFonts w:ascii="Times New Roman" w:eastAsia="Times New Roman" w:hAnsi="Times New Roman" w:cs="Times New Roman"/>
          <w:b/>
          <w:color w:val="000000"/>
          <w:sz w:val="24"/>
          <w:szCs w:val="24"/>
          <w:lang w:eastAsia="lv-LV"/>
        </w:rPr>
      </w:pPr>
    </w:p>
    <w:tbl>
      <w:tblPr>
        <w:tblW w:w="0" w:type="auto"/>
        <w:tblInd w:w="8" w:type="dxa"/>
        <w:tblCellMar>
          <w:left w:w="10" w:type="dxa"/>
          <w:right w:w="10" w:type="dxa"/>
        </w:tblCellMar>
        <w:tblLook w:val="04A0" w:firstRow="1" w:lastRow="0" w:firstColumn="1" w:lastColumn="0" w:noHBand="0" w:noVBand="1"/>
      </w:tblPr>
      <w:tblGrid>
        <w:gridCol w:w="3250"/>
        <w:gridCol w:w="5797"/>
      </w:tblGrid>
      <w:tr w:rsidR="003735E8" w:rsidRPr="003735E8" w14:paraId="25076189" w14:textId="77777777" w:rsidTr="00EE7A32">
        <w:trPr>
          <w:trHeight w:val="1"/>
        </w:trPr>
        <w:tc>
          <w:tcPr>
            <w:tcW w:w="9055" w:type="dxa"/>
            <w:gridSpan w:val="2"/>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14:paraId="4F12F32A" w14:textId="77777777" w:rsidR="003735E8" w:rsidRPr="003735E8" w:rsidRDefault="003735E8" w:rsidP="003735E8">
            <w:pPr>
              <w:spacing w:after="0" w:line="240" w:lineRule="auto"/>
              <w:jc w:val="center"/>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b/>
                <w:color w:val="000000"/>
                <w:sz w:val="24"/>
                <w:szCs w:val="24"/>
                <w:lang w:eastAsia="lv-LV"/>
              </w:rPr>
              <w:t>Tiesību akta projekta anotācijas kopsavilkums</w:t>
            </w:r>
          </w:p>
        </w:tc>
      </w:tr>
      <w:tr w:rsidR="003735E8" w:rsidRPr="003735E8" w14:paraId="4F58B37F" w14:textId="77777777" w:rsidTr="00EE7A32">
        <w:trPr>
          <w:trHeight w:val="1"/>
        </w:trPr>
        <w:tc>
          <w:tcPr>
            <w:tcW w:w="3253"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14:paraId="27357EFE"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color w:val="000000"/>
                <w:sz w:val="24"/>
                <w:szCs w:val="24"/>
                <w:lang w:eastAsia="lv-LV"/>
              </w:rPr>
              <w:t>Mērķis, risinājums un projekta spēkā stāšanās laiks (500 zīmes bez atstarpēm)</w:t>
            </w:r>
          </w:p>
        </w:tc>
        <w:tc>
          <w:tcPr>
            <w:tcW w:w="580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14:paraId="4A558EEB" w14:textId="77777777" w:rsidR="003735E8" w:rsidRPr="003735E8" w:rsidRDefault="003735E8" w:rsidP="003735E8">
            <w:pPr>
              <w:shd w:val="clear" w:color="auto" w:fill="FFFFFF"/>
              <w:spacing w:after="0" w:line="240" w:lineRule="auto"/>
              <w:ind w:firstLine="284"/>
              <w:jc w:val="both"/>
              <w:rPr>
                <w:rFonts w:ascii="Times New Roman" w:eastAsia="Times New Roman" w:hAnsi="Times New Roman" w:cs="Times New Roman"/>
                <w:color w:val="000000"/>
                <w:sz w:val="24"/>
                <w:szCs w:val="24"/>
                <w:lang w:eastAsia="lv-LV"/>
              </w:rPr>
            </w:pPr>
            <w:r w:rsidRPr="003735E8">
              <w:rPr>
                <w:rFonts w:ascii="Times New Roman" w:eastAsia="Times New Roman" w:hAnsi="Times New Roman" w:cs="Times New Roman"/>
                <w:color w:val="000000"/>
                <w:sz w:val="24"/>
                <w:szCs w:val="24"/>
                <w:lang w:eastAsia="lv-LV"/>
              </w:rPr>
              <w:t>Nav attiecināms.</w:t>
            </w:r>
          </w:p>
        </w:tc>
      </w:tr>
    </w:tbl>
    <w:p w14:paraId="18EAFF15" w14:textId="77777777" w:rsidR="003735E8" w:rsidRPr="003735E8" w:rsidRDefault="003735E8" w:rsidP="003735E8">
      <w:pPr>
        <w:spacing w:after="0" w:line="240" w:lineRule="auto"/>
        <w:rPr>
          <w:rFonts w:ascii="Times New Roman" w:eastAsia="Times New Roman" w:hAnsi="Times New Roman" w:cs="Times New Roman"/>
          <w:b/>
          <w:sz w:val="24"/>
          <w:szCs w:val="24"/>
          <w:lang w:eastAsia="lv-LV"/>
        </w:rPr>
      </w:pPr>
    </w:p>
    <w:tbl>
      <w:tblPr>
        <w:tblW w:w="9072" w:type="dxa"/>
        <w:tblInd w:w="-5" w:type="dxa"/>
        <w:tblLayout w:type="fixed"/>
        <w:tblCellMar>
          <w:left w:w="10" w:type="dxa"/>
          <w:right w:w="10" w:type="dxa"/>
        </w:tblCellMar>
        <w:tblLook w:val="04A0" w:firstRow="1" w:lastRow="0" w:firstColumn="1" w:lastColumn="0" w:noHBand="0" w:noVBand="1"/>
      </w:tblPr>
      <w:tblGrid>
        <w:gridCol w:w="8"/>
        <w:gridCol w:w="353"/>
        <w:gridCol w:w="99"/>
        <w:gridCol w:w="279"/>
        <w:gridCol w:w="1372"/>
        <w:gridCol w:w="583"/>
        <w:gridCol w:w="281"/>
        <w:gridCol w:w="169"/>
        <w:gridCol w:w="364"/>
        <w:gridCol w:w="690"/>
        <w:gridCol w:w="944"/>
        <w:gridCol w:w="1054"/>
        <w:gridCol w:w="944"/>
        <w:gridCol w:w="1054"/>
        <w:gridCol w:w="868"/>
        <w:gridCol w:w="10"/>
      </w:tblGrid>
      <w:tr w:rsidR="003735E8" w:rsidRPr="003735E8" w14:paraId="1BF010E9" w14:textId="77777777" w:rsidTr="007F5F3A">
        <w:tc>
          <w:tcPr>
            <w:tcW w:w="9072" w:type="dxa"/>
            <w:gridSpan w:val="16"/>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vAlign w:val="center"/>
          </w:tcPr>
          <w:p w14:paraId="0A488A58" w14:textId="77777777" w:rsidR="003735E8" w:rsidRPr="003735E8" w:rsidRDefault="003735E8" w:rsidP="003735E8">
            <w:pPr>
              <w:spacing w:after="0" w:line="240" w:lineRule="auto"/>
              <w:jc w:val="center"/>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b/>
                <w:sz w:val="24"/>
                <w:szCs w:val="24"/>
                <w:lang w:eastAsia="lv-LV"/>
              </w:rPr>
              <w:t>I. Tiesību akta projekta izstrādes nepieciešamība</w:t>
            </w:r>
          </w:p>
        </w:tc>
      </w:tr>
      <w:tr w:rsidR="003735E8" w:rsidRPr="003735E8" w14:paraId="0EDA563A" w14:textId="77777777" w:rsidTr="007F5F3A">
        <w:tc>
          <w:tcPr>
            <w:tcW w:w="739" w:type="dxa"/>
            <w:gridSpan w:val="4"/>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63C5844C"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1.</w:t>
            </w:r>
          </w:p>
        </w:tc>
        <w:tc>
          <w:tcPr>
            <w:tcW w:w="2769" w:type="dxa"/>
            <w:gridSpan w:val="5"/>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2B7146A8"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Pamatojums</w:t>
            </w:r>
          </w:p>
        </w:tc>
        <w:tc>
          <w:tcPr>
            <w:tcW w:w="5564" w:type="dxa"/>
            <w:gridSpan w:val="7"/>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33B055DA" w14:textId="3206848D" w:rsidR="003735E8" w:rsidRPr="00BB7936" w:rsidRDefault="00BB7936" w:rsidP="00BB7936">
            <w:pPr>
              <w:spacing w:after="0" w:line="240" w:lineRule="auto"/>
              <w:jc w:val="both"/>
              <w:rPr>
                <w:rFonts w:ascii="Times New Roman" w:hAnsi="Times New Roman" w:cs="Times New Roman"/>
                <w:sz w:val="24"/>
                <w:szCs w:val="24"/>
              </w:rPr>
            </w:pPr>
            <w:r w:rsidRPr="00BB7936">
              <w:rPr>
                <w:rFonts w:ascii="Times New Roman" w:hAnsi="Times New Roman" w:cs="Times New Roman"/>
                <w:sz w:val="24"/>
                <w:szCs w:val="24"/>
              </w:rPr>
              <w:t>2020. gada 30. decembrī stājās spēkā likums “Grozījumi Valsts un pašvaldību institūciju amatpersonu un darbinieku atlīdzības likumā”, kas Saeimā tika pieņemts 2020. gada 17. decembrī. Tajā cita starpā tika izdarīts grozījums Valsts un pašvaldību institūciju amatpersonu un darbinieku atlīdzības likuma 2. pielikuma “Amatu saimei (apakšsaimei) atbilstošā maksimālā mēnešalgu grupa” 81. punktā, ailē “Maksimālā mēnešalgu grupa” aizstājot skaitli “8” ar skaitli “14”. Minētais attiecas uz 53.3. apakšsaimi, kurā ietilpst amati, kuru pildītāji virsprokurora un prokurora uzdevumā nodrošina lēmumu izpildei nepieciešamās procesuālās darbības, kā arī veic citus prokurora deleģētus uzdevumus, kuru izpildei nav nepieciešamas prokurora pilnvaras – prokuratūras darbinieki (prokuroru palīgi).</w:t>
            </w:r>
          </w:p>
        </w:tc>
      </w:tr>
      <w:tr w:rsidR="003735E8" w:rsidRPr="003735E8" w14:paraId="117FD859" w14:textId="77777777" w:rsidTr="007F5F3A">
        <w:tc>
          <w:tcPr>
            <w:tcW w:w="739" w:type="dxa"/>
            <w:gridSpan w:val="4"/>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692AB43A"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2.</w:t>
            </w:r>
          </w:p>
        </w:tc>
        <w:tc>
          <w:tcPr>
            <w:tcW w:w="2769" w:type="dxa"/>
            <w:gridSpan w:val="5"/>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453CFA65" w14:textId="6314CA8C" w:rsidR="003735E8" w:rsidRPr="003735E8" w:rsidRDefault="003735E8" w:rsidP="00B412ED">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564" w:type="dxa"/>
            <w:gridSpan w:val="7"/>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11FFCC0C" w14:textId="5E968930" w:rsidR="00BB7936" w:rsidRPr="00BB7936" w:rsidRDefault="00BB7936" w:rsidP="00BB7936">
            <w:pPr>
              <w:spacing w:after="0" w:line="240" w:lineRule="auto"/>
              <w:jc w:val="both"/>
              <w:rPr>
                <w:rFonts w:ascii="Times New Roman" w:hAnsi="Times New Roman" w:cs="Times New Roman"/>
                <w:sz w:val="24"/>
                <w:szCs w:val="24"/>
              </w:rPr>
            </w:pPr>
            <w:r w:rsidRPr="00BB7936">
              <w:rPr>
                <w:rFonts w:ascii="Times New Roman" w:hAnsi="Times New Roman" w:cs="Times New Roman"/>
                <w:sz w:val="24"/>
                <w:szCs w:val="24"/>
              </w:rPr>
              <w:t xml:space="preserve">Saistībā ar minētajiem likuma grozījumiem Ministru kabineta 2010. gada 30. novembra noteikumos Nr. 1075 “Valsts un pašvaldību institūciju amatu katalogs” (turpmāk – noteikumi) nepieciešams izdarīt būtiskus grozījumus tajos esošās 53.3. apakšsaimes līmeņu sadalījumā un amata paraugaprakstā, papildinot to ar jauniem pienākumiem, kā arī ietverot jaunus prokuratūras darbinieku amatus un nosakot tiem augstākas sarežģītības pienākumus prokuroru deleģēto uzdevumu, kuru izpildei nav nepieciešamas prokurora pilnvaras, veikšanai. </w:t>
            </w:r>
          </w:p>
          <w:p w14:paraId="4819E396" w14:textId="4A720268" w:rsidR="003735E8" w:rsidRDefault="00C96B0D" w:rsidP="00C96B0D">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0D443E">
              <w:rPr>
                <w:rFonts w:ascii="Times New Roman" w:eastAsia="Calibri" w:hAnsi="Times New Roman" w:cs="Times New Roman"/>
                <w:sz w:val="24"/>
                <w:szCs w:val="24"/>
                <w:lang w:eastAsia="lv-LV"/>
              </w:rPr>
              <w:t>rokuratūras likumā prokuroram noteiktas plašas funkcijas – uzraudzīt izmeklēšanas un operatīvās darbības, veikt izmeklēšanu, kriminālvajāšanu, uzturēt valsts apsūdzību tiesā, likumā noteiktajā kārtībā aizsargāt personu un valsts tiesības un likumīgās intereses</w:t>
            </w:r>
            <w:r w:rsidR="00B07C30">
              <w:rPr>
                <w:rFonts w:ascii="Times New Roman" w:eastAsia="Calibri" w:hAnsi="Times New Roman" w:cs="Times New Roman"/>
                <w:sz w:val="24"/>
                <w:szCs w:val="24"/>
                <w:lang w:eastAsia="lv-LV"/>
              </w:rPr>
              <w:t xml:space="preserve"> u.c. Vienlaikus Krimināllikumā </w:t>
            </w:r>
            <w:r w:rsidR="002B29F1">
              <w:rPr>
                <w:rFonts w:ascii="Times New Roman" w:eastAsia="Calibri" w:hAnsi="Times New Roman" w:cs="Times New Roman"/>
                <w:sz w:val="24"/>
                <w:szCs w:val="24"/>
                <w:lang w:eastAsia="lv-LV"/>
              </w:rPr>
              <w:t>paredzētajos</w:t>
            </w:r>
            <w:r w:rsidR="00B07C30">
              <w:rPr>
                <w:rFonts w:ascii="Times New Roman" w:eastAsia="Calibri" w:hAnsi="Times New Roman" w:cs="Times New Roman"/>
                <w:sz w:val="24"/>
                <w:szCs w:val="24"/>
                <w:lang w:eastAsia="lv-LV"/>
              </w:rPr>
              <w:t xml:space="preserve"> gadījumos prokuroram dotas tiesības atzīt personu par vainīgu noziedzīga nodarījuma izdarīšanā un </w:t>
            </w:r>
            <w:r w:rsidR="002B29F1">
              <w:rPr>
                <w:rFonts w:ascii="Times New Roman" w:eastAsia="Calibri" w:hAnsi="Times New Roman" w:cs="Times New Roman"/>
                <w:sz w:val="24"/>
                <w:szCs w:val="24"/>
                <w:lang w:eastAsia="lv-LV"/>
              </w:rPr>
              <w:t xml:space="preserve">noteikt sodu. </w:t>
            </w:r>
          </w:p>
          <w:p w14:paraId="4949A947" w14:textId="1ACED187" w:rsidR="007C614E" w:rsidRDefault="002B29F1" w:rsidP="00C96B0D">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Ievērojot prokurora darba apjomu un plašo zināšanu nepieciešamību dažādās tiesību nozarēs, vitāli svarīga ir prokurora palīga institūta stiprināša</w:t>
            </w:r>
            <w:r w:rsidR="003F2394">
              <w:rPr>
                <w:rFonts w:ascii="Times New Roman" w:eastAsia="Calibri" w:hAnsi="Times New Roman" w:cs="Times New Roman"/>
                <w:sz w:val="24"/>
                <w:szCs w:val="24"/>
                <w:lang w:eastAsia="lv-LV"/>
              </w:rPr>
              <w:t xml:space="preserve">na, </w:t>
            </w:r>
            <w:r>
              <w:rPr>
                <w:rFonts w:ascii="Times New Roman" w:eastAsia="Calibri" w:hAnsi="Times New Roman" w:cs="Times New Roman"/>
                <w:sz w:val="24"/>
                <w:szCs w:val="24"/>
                <w:lang w:eastAsia="lv-LV"/>
              </w:rPr>
              <w:t>kas var palīdzēt prokurora un prokuratūras darbu kopumā</w:t>
            </w:r>
            <w:r w:rsidR="007C614E">
              <w:rPr>
                <w:rFonts w:ascii="Times New Roman" w:eastAsia="Calibri" w:hAnsi="Times New Roman" w:cs="Times New Roman"/>
                <w:sz w:val="24"/>
                <w:szCs w:val="24"/>
                <w:lang w:eastAsia="lv-LV"/>
              </w:rPr>
              <w:t xml:space="preserve"> padarīt efektīvāku, palielināt tās kapacitāti un resursus.</w:t>
            </w:r>
          </w:p>
          <w:p w14:paraId="0511E1E8" w14:textId="368EC2A7" w:rsidR="002B29F1" w:rsidRDefault="00310B0F" w:rsidP="00C96B0D">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Š</w:t>
            </w:r>
            <w:r w:rsidR="007C614E">
              <w:rPr>
                <w:rFonts w:ascii="Times New Roman" w:eastAsia="Calibri" w:hAnsi="Times New Roman" w:cs="Times New Roman"/>
                <w:sz w:val="24"/>
                <w:szCs w:val="24"/>
                <w:lang w:eastAsia="lv-LV"/>
              </w:rPr>
              <w:t>obrīd prokurora palīgs pārsvarā veic tehnisku darbu</w:t>
            </w:r>
            <w:r w:rsidR="006C60E3">
              <w:rPr>
                <w:rFonts w:ascii="Times New Roman" w:eastAsia="Calibri" w:hAnsi="Times New Roman" w:cs="Times New Roman"/>
                <w:sz w:val="24"/>
                <w:szCs w:val="24"/>
                <w:lang w:eastAsia="lv-LV"/>
              </w:rPr>
              <w:t xml:space="preserve"> (sašuj un sanumurē krimināllietas materiālus, sastāda lietā esošo dokumentu sarakstu, </w:t>
            </w:r>
            <w:r w:rsidR="000A40FB">
              <w:rPr>
                <w:rFonts w:ascii="Times New Roman" w:eastAsia="Calibri" w:hAnsi="Times New Roman" w:cs="Times New Roman"/>
                <w:sz w:val="24"/>
                <w:szCs w:val="24"/>
                <w:lang w:eastAsia="lv-LV"/>
              </w:rPr>
              <w:t xml:space="preserve">veic kopēšanas, skenēšanas </w:t>
            </w:r>
            <w:r w:rsidR="000A40FB">
              <w:rPr>
                <w:rFonts w:ascii="Times New Roman" w:eastAsia="Calibri" w:hAnsi="Times New Roman" w:cs="Times New Roman"/>
                <w:sz w:val="24"/>
                <w:szCs w:val="24"/>
                <w:lang w:eastAsia="lv-LV"/>
              </w:rPr>
              <w:lastRenderedPageBreak/>
              <w:t xml:space="preserve">darbu, </w:t>
            </w:r>
            <w:r w:rsidR="009A2652">
              <w:rPr>
                <w:rFonts w:ascii="Times New Roman" w:eastAsia="Calibri" w:hAnsi="Times New Roman" w:cs="Times New Roman"/>
                <w:sz w:val="24"/>
                <w:szCs w:val="24"/>
                <w:lang w:eastAsia="lv-LV"/>
              </w:rPr>
              <w:t xml:space="preserve">uzrāda krimināllietas materiālus vai sagatavo to kopijas izsniegšanai kriminālprocesā iesaistītajām personām, </w:t>
            </w:r>
            <w:r w:rsidR="000A40FB">
              <w:rPr>
                <w:rFonts w:ascii="Times New Roman" w:eastAsia="Calibri" w:hAnsi="Times New Roman" w:cs="Times New Roman"/>
                <w:sz w:val="24"/>
                <w:szCs w:val="24"/>
                <w:lang w:eastAsia="lv-LV"/>
              </w:rPr>
              <w:t>apliecina dokumentu atvasinājumu pareizību, sagatavo pieprasījumus, uzaicinājumus u.tml.),</w:t>
            </w:r>
            <w:r w:rsidR="00C04D45">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bet </w:t>
            </w:r>
            <w:r w:rsidR="003F2394">
              <w:rPr>
                <w:rFonts w:ascii="Times New Roman" w:eastAsia="Calibri" w:hAnsi="Times New Roman" w:cs="Times New Roman"/>
                <w:sz w:val="24"/>
                <w:szCs w:val="24"/>
                <w:lang w:eastAsia="lv-LV"/>
              </w:rPr>
              <w:t>paredzēts, ka prokurora palīgam varētu uzticēt arī tādus darbus, vienlaikus palielinot atbildību, kā atsevišķu procesuālo dokumentu projektu sagatavošana</w:t>
            </w:r>
            <w:r w:rsidR="00C23EC6">
              <w:rPr>
                <w:rFonts w:ascii="Times New Roman" w:eastAsia="Calibri" w:hAnsi="Times New Roman" w:cs="Times New Roman"/>
                <w:sz w:val="24"/>
                <w:szCs w:val="24"/>
                <w:lang w:eastAsia="lv-LV"/>
              </w:rPr>
              <w:t>, judikatūras un tiesību zinātņu atziņu konkrētos tiesību jautājumos pētīšan</w:t>
            </w:r>
            <w:r w:rsidR="00BD45E3">
              <w:rPr>
                <w:rFonts w:ascii="Times New Roman" w:eastAsia="Calibri" w:hAnsi="Times New Roman" w:cs="Times New Roman"/>
                <w:sz w:val="24"/>
                <w:szCs w:val="24"/>
                <w:lang w:eastAsia="lv-LV"/>
              </w:rPr>
              <w:t>a</w:t>
            </w:r>
            <w:r w:rsidR="00C53C43">
              <w:rPr>
                <w:rFonts w:ascii="Times New Roman" w:eastAsia="Calibri" w:hAnsi="Times New Roman" w:cs="Times New Roman"/>
                <w:sz w:val="24"/>
                <w:szCs w:val="24"/>
                <w:lang w:eastAsia="lv-LV"/>
              </w:rPr>
              <w:t xml:space="preserve"> un apkopošan</w:t>
            </w:r>
            <w:r w:rsidR="00BD45E3">
              <w:rPr>
                <w:rFonts w:ascii="Times New Roman" w:eastAsia="Calibri" w:hAnsi="Times New Roman" w:cs="Times New Roman"/>
                <w:sz w:val="24"/>
                <w:szCs w:val="24"/>
                <w:lang w:eastAsia="lv-LV"/>
              </w:rPr>
              <w:t>a</w:t>
            </w:r>
            <w:r w:rsidR="00C53C43">
              <w:rPr>
                <w:rFonts w:ascii="Times New Roman" w:eastAsia="Calibri" w:hAnsi="Times New Roman" w:cs="Times New Roman"/>
                <w:sz w:val="24"/>
                <w:szCs w:val="24"/>
                <w:lang w:eastAsia="lv-LV"/>
              </w:rPr>
              <w:t xml:space="preserve">, atbilžu sagatavošanai uz starptautisko institūciju pieprasījumiem </w:t>
            </w:r>
            <w:r w:rsidR="003223D0">
              <w:rPr>
                <w:rFonts w:ascii="Times New Roman" w:eastAsia="Calibri" w:hAnsi="Times New Roman" w:cs="Times New Roman"/>
                <w:sz w:val="24"/>
                <w:szCs w:val="24"/>
                <w:lang w:eastAsia="lv-LV"/>
              </w:rPr>
              <w:t xml:space="preserve">nepieciešamās informācijas </w:t>
            </w:r>
            <w:r w:rsidR="00C53C43">
              <w:rPr>
                <w:rFonts w:ascii="Times New Roman" w:eastAsia="Calibri" w:hAnsi="Times New Roman" w:cs="Times New Roman"/>
                <w:sz w:val="24"/>
                <w:szCs w:val="24"/>
                <w:lang w:eastAsia="lv-LV"/>
              </w:rPr>
              <w:t>apkopošana</w:t>
            </w:r>
            <w:r w:rsidR="00BD45E3">
              <w:rPr>
                <w:rFonts w:ascii="Times New Roman" w:eastAsia="Calibri" w:hAnsi="Times New Roman" w:cs="Times New Roman"/>
                <w:sz w:val="24"/>
                <w:szCs w:val="24"/>
                <w:lang w:eastAsia="lv-LV"/>
              </w:rPr>
              <w:t>, atbilžu projektu uz sūdzībām un iesniegumiem sagatavošana u.c.</w:t>
            </w:r>
            <w:r w:rsidR="004C07AA">
              <w:rPr>
                <w:rFonts w:ascii="Times New Roman" w:eastAsia="Calibri" w:hAnsi="Times New Roman" w:cs="Times New Roman"/>
                <w:sz w:val="24"/>
                <w:szCs w:val="24"/>
                <w:lang w:eastAsia="lv-LV"/>
              </w:rPr>
              <w:t>, tādējādi prokurora palīga institūtu tuvinot tiesneša palīga institūtam gan veicamo darbu, gan atalgojuma ziņā.</w:t>
            </w:r>
            <w:r w:rsidR="007C614E">
              <w:rPr>
                <w:rFonts w:ascii="Times New Roman" w:eastAsia="Calibri" w:hAnsi="Times New Roman" w:cs="Times New Roman"/>
                <w:sz w:val="24"/>
                <w:szCs w:val="24"/>
                <w:lang w:eastAsia="lv-LV"/>
              </w:rPr>
              <w:t xml:space="preserve"> </w:t>
            </w:r>
          </w:p>
          <w:p w14:paraId="23AF2735" w14:textId="7E63E9BB" w:rsidR="00D25841" w:rsidRPr="003735E8" w:rsidRDefault="00D25841" w:rsidP="00C96B0D">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Paaugstinot prokurora palīga atalgojumu, </w:t>
            </w:r>
            <w:r w:rsidR="00A15298">
              <w:rPr>
                <w:rFonts w:ascii="Times New Roman" w:eastAsia="Calibri" w:hAnsi="Times New Roman" w:cs="Times New Roman"/>
                <w:sz w:val="24"/>
                <w:szCs w:val="24"/>
                <w:lang w:eastAsia="lv-LV"/>
              </w:rPr>
              <w:t xml:space="preserve">tiks radīta iespēja </w:t>
            </w:r>
            <w:r>
              <w:rPr>
                <w:rFonts w:ascii="Times New Roman" w:eastAsia="Calibri" w:hAnsi="Times New Roman" w:cs="Times New Roman"/>
                <w:sz w:val="24"/>
                <w:szCs w:val="24"/>
                <w:lang w:eastAsia="lv-LV"/>
              </w:rPr>
              <w:t>piesaistīt kvalificētus speciālistus minēto darbu veikšanai</w:t>
            </w:r>
            <w:r w:rsidR="00724801">
              <w:rPr>
                <w:rFonts w:ascii="Times New Roman" w:eastAsia="Calibri" w:hAnsi="Times New Roman" w:cs="Times New Roman"/>
                <w:sz w:val="24"/>
                <w:szCs w:val="24"/>
                <w:lang w:eastAsia="lv-LV"/>
              </w:rPr>
              <w:t xml:space="preserve"> un </w:t>
            </w:r>
            <w:r w:rsidR="00606961">
              <w:rPr>
                <w:rFonts w:ascii="Times New Roman" w:eastAsia="Calibri" w:hAnsi="Times New Roman" w:cs="Times New Roman"/>
                <w:sz w:val="24"/>
                <w:szCs w:val="24"/>
                <w:lang w:eastAsia="lv-LV"/>
              </w:rPr>
              <w:t xml:space="preserve">stiprināt prokuratūras </w:t>
            </w:r>
            <w:r w:rsidR="00873BCA">
              <w:rPr>
                <w:rFonts w:ascii="Times New Roman" w:eastAsia="Calibri" w:hAnsi="Times New Roman" w:cs="Times New Roman"/>
                <w:sz w:val="24"/>
                <w:szCs w:val="24"/>
                <w:lang w:eastAsia="lv-LV"/>
              </w:rPr>
              <w:t>cilvēk</w:t>
            </w:r>
            <w:r w:rsidR="00606961">
              <w:rPr>
                <w:rFonts w:ascii="Times New Roman" w:eastAsia="Calibri" w:hAnsi="Times New Roman" w:cs="Times New Roman"/>
                <w:sz w:val="24"/>
                <w:szCs w:val="24"/>
                <w:lang w:eastAsia="lv-LV"/>
              </w:rPr>
              <w:t xml:space="preserve">resursu kapacitāti, </w:t>
            </w:r>
            <w:r w:rsidR="00724801">
              <w:rPr>
                <w:rFonts w:ascii="Times New Roman" w:eastAsia="Calibri" w:hAnsi="Times New Roman" w:cs="Times New Roman"/>
                <w:sz w:val="24"/>
                <w:szCs w:val="24"/>
                <w:lang w:eastAsia="lv-LV"/>
              </w:rPr>
              <w:t>lai</w:t>
            </w:r>
            <w:r w:rsidR="00873BCA">
              <w:rPr>
                <w:rFonts w:ascii="Times New Roman" w:eastAsia="Calibri" w:hAnsi="Times New Roman" w:cs="Times New Roman"/>
                <w:sz w:val="24"/>
                <w:szCs w:val="24"/>
                <w:lang w:eastAsia="lv-LV"/>
              </w:rPr>
              <w:t xml:space="preserve"> nodrošin</w:t>
            </w:r>
            <w:r w:rsidR="00724801">
              <w:rPr>
                <w:rFonts w:ascii="Times New Roman" w:eastAsia="Calibri" w:hAnsi="Times New Roman" w:cs="Times New Roman"/>
                <w:sz w:val="24"/>
                <w:szCs w:val="24"/>
                <w:lang w:eastAsia="lv-LV"/>
              </w:rPr>
              <w:t>ā</w:t>
            </w:r>
            <w:r w:rsidR="00873BCA">
              <w:rPr>
                <w:rFonts w:ascii="Times New Roman" w:eastAsia="Calibri" w:hAnsi="Times New Roman" w:cs="Times New Roman"/>
                <w:sz w:val="24"/>
                <w:szCs w:val="24"/>
                <w:lang w:eastAsia="lv-LV"/>
              </w:rPr>
              <w:t>t</w:t>
            </w:r>
            <w:r w:rsidR="00724801">
              <w:rPr>
                <w:rFonts w:ascii="Times New Roman" w:eastAsia="Calibri" w:hAnsi="Times New Roman" w:cs="Times New Roman"/>
                <w:sz w:val="24"/>
                <w:szCs w:val="24"/>
                <w:lang w:eastAsia="lv-LV"/>
              </w:rPr>
              <w:t>u</w:t>
            </w:r>
            <w:r w:rsidR="00873BCA">
              <w:rPr>
                <w:rFonts w:ascii="Times New Roman" w:eastAsia="Calibri" w:hAnsi="Times New Roman" w:cs="Times New Roman"/>
                <w:sz w:val="24"/>
                <w:szCs w:val="24"/>
                <w:lang w:eastAsia="lv-LV"/>
              </w:rPr>
              <w:t xml:space="preserve"> ātrāku un efektīvāku prokurora pienākumu veikšanu</w:t>
            </w:r>
            <w:r w:rsidR="00F0298A">
              <w:rPr>
                <w:rFonts w:ascii="Times New Roman" w:eastAsia="Calibri" w:hAnsi="Times New Roman" w:cs="Times New Roman"/>
                <w:sz w:val="24"/>
                <w:szCs w:val="24"/>
                <w:lang w:eastAsia="lv-LV"/>
              </w:rPr>
              <w:t>.</w:t>
            </w:r>
          </w:p>
        </w:tc>
      </w:tr>
      <w:tr w:rsidR="003735E8" w:rsidRPr="003735E8" w14:paraId="2D61E2CD" w14:textId="77777777" w:rsidTr="007F5F3A">
        <w:tc>
          <w:tcPr>
            <w:tcW w:w="739" w:type="dxa"/>
            <w:gridSpan w:val="4"/>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709B9BBB"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lastRenderedPageBreak/>
              <w:t>3.</w:t>
            </w:r>
          </w:p>
        </w:tc>
        <w:tc>
          <w:tcPr>
            <w:tcW w:w="2769" w:type="dxa"/>
            <w:gridSpan w:val="5"/>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1CB24720"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 xml:space="preserve">Projekta izstrādē iesaistītās institūcijas </w:t>
            </w:r>
            <w:r w:rsidRPr="003735E8">
              <w:rPr>
                <w:rFonts w:ascii="Times New Roman" w:eastAsiaTheme="minorEastAsia" w:hAnsi="Times New Roman" w:cs="Times New Roman"/>
                <w:sz w:val="24"/>
                <w:szCs w:val="24"/>
                <w:lang w:eastAsia="lv-LV"/>
              </w:rPr>
              <w:t>un publiskas personas kapitālsabiedrības</w:t>
            </w:r>
          </w:p>
        </w:tc>
        <w:tc>
          <w:tcPr>
            <w:tcW w:w="5564" w:type="dxa"/>
            <w:gridSpan w:val="7"/>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7E5F6991" w14:textId="4805008C" w:rsidR="003735E8" w:rsidRPr="003735E8" w:rsidRDefault="00E14B8E" w:rsidP="00C96B0D">
            <w:pPr>
              <w:spacing w:after="0" w:line="240" w:lineRule="auto"/>
              <w:jc w:val="both"/>
              <w:rPr>
                <w:rFonts w:ascii="Times New Roman" w:eastAsiaTheme="minorEastAsia" w:hAnsi="Times New Roman" w:cs="Times New Roman"/>
                <w:sz w:val="24"/>
                <w:szCs w:val="24"/>
                <w:lang w:eastAsia="lv-LV"/>
              </w:rPr>
            </w:pPr>
            <w:r>
              <w:rPr>
                <w:rFonts w:ascii="Times New Roman" w:eastAsiaTheme="minorEastAsia" w:hAnsi="Times New Roman" w:cs="Times New Roman"/>
                <w:sz w:val="24"/>
                <w:szCs w:val="24"/>
                <w:lang w:eastAsia="lv-LV"/>
              </w:rPr>
              <w:t>Notikušas konsultācijas ar Valsts kanceleju</w:t>
            </w:r>
            <w:r w:rsidR="00C96B0D">
              <w:rPr>
                <w:rFonts w:ascii="Times New Roman" w:eastAsiaTheme="minorEastAsia" w:hAnsi="Times New Roman" w:cs="Times New Roman"/>
                <w:sz w:val="24"/>
                <w:szCs w:val="24"/>
                <w:lang w:eastAsia="lv-LV"/>
              </w:rPr>
              <w:t>.</w:t>
            </w:r>
          </w:p>
        </w:tc>
      </w:tr>
      <w:tr w:rsidR="003735E8" w:rsidRPr="003735E8" w14:paraId="1C090C43" w14:textId="77777777" w:rsidTr="007F5F3A">
        <w:trPr>
          <w:trHeight w:val="1"/>
        </w:trPr>
        <w:tc>
          <w:tcPr>
            <w:tcW w:w="739" w:type="dxa"/>
            <w:gridSpan w:val="4"/>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1F46A785"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4.</w:t>
            </w:r>
          </w:p>
        </w:tc>
        <w:tc>
          <w:tcPr>
            <w:tcW w:w="2769" w:type="dxa"/>
            <w:gridSpan w:val="5"/>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74955302" w14:textId="77777777" w:rsidR="003735E8" w:rsidRPr="003735E8" w:rsidRDefault="003735E8" w:rsidP="003735E8">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Cita informācija</w:t>
            </w:r>
          </w:p>
        </w:tc>
        <w:tc>
          <w:tcPr>
            <w:tcW w:w="5564" w:type="dxa"/>
            <w:gridSpan w:val="7"/>
            <w:tcBorders>
              <w:top w:val="single" w:sz="4" w:space="0" w:color="auto"/>
              <w:left w:val="single" w:sz="4" w:space="0" w:color="auto"/>
              <w:bottom w:val="single" w:sz="4" w:space="0" w:color="auto"/>
              <w:right w:val="single" w:sz="4" w:space="0" w:color="auto"/>
            </w:tcBorders>
            <w:shd w:val="clear" w:color="000000" w:fill="FFFFFF"/>
            <w:tcMar>
              <w:left w:w="30" w:type="dxa"/>
              <w:right w:w="30" w:type="dxa"/>
            </w:tcMar>
          </w:tcPr>
          <w:p w14:paraId="1F9E6EB0" w14:textId="77777777" w:rsidR="003735E8" w:rsidRPr="003735E8" w:rsidRDefault="003735E8" w:rsidP="00C96B0D">
            <w:pPr>
              <w:spacing w:after="0" w:line="240" w:lineRule="auto"/>
              <w:rPr>
                <w:rFonts w:ascii="Times New Roman" w:eastAsiaTheme="minorEastAsia" w:hAnsi="Times New Roman" w:cs="Times New Roman"/>
                <w:sz w:val="24"/>
                <w:szCs w:val="24"/>
                <w:lang w:eastAsia="lv-LV"/>
              </w:rPr>
            </w:pPr>
            <w:r w:rsidRPr="003735E8">
              <w:rPr>
                <w:rFonts w:ascii="Times New Roman" w:eastAsia="Times New Roman" w:hAnsi="Times New Roman" w:cs="Times New Roman"/>
                <w:sz w:val="24"/>
                <w:szCs w:val="24"/>
                <w:lang w:eastAsia="lv-LV"/>
              </w:rPr>
              <w:t>Nav.</w:t>
            </w:r>
          </w:p>
        </w:tc>
      </w:tr>
      <w:tr w:rsidR="00993685" w:rsidRPr="003735E8" w14:paraId="0368DBCA" w14:textId="77777777" w:rsidTr="007F5F3A">
        <w:trPr>
          <w:trHeight w:val="1"/>
        </w:trPr>
        <w:tc>
          <w:tcPr>
            <w:tcW w:w="739" w:type="dxa"/>
            <w:gridSpan w:val="4"/>
            <w:tcBorders>
              <w:top w:val="single" w:sz="4" w:space="0" w:color="auto"/>
              <w:bottom w:val="single" w:sz="4" w:space="0" w:color="auto"/>
            </w:tcBorders>
            <w:shd w:val="clear" w:color="000000" w:fill="FFFFFF"/>
            <w:tcMar>
              <w:left w:w="30" w:type="dxa"/>
              <w:right w:w="30" w:type="dxa"/>
            </w:tcMar>
          </w:tcPr>
          <w:p w14:paraId="68C48336" w14:textId="77777777" w:rsidR="00993685" w:rsidRPr="003735E8" w:rsidRDefault="00993685" w:rsidP="00993685">
            <w:pPr>
              <w:spacing w:after="0" w:line="240" w:lineRule="auto"/>
              <w:rPr>
                <w:rFonts w:ascii="Times New Roman" w:eastAsia="Times New Roman" w:hAnsi="Times New Roman" w:cs="Times New Roman"/>
                <w:b/>
                <w:sz w:val="24"/>
                <w:szCs w:val="24"/>
                <w:lang w:eastAsia="lv-LV"/>
              </w:rPr>
            </w:pPr>
          </w:p>
          <w:p w14:paraId="65F50190" w14:textId="77777777" w:rsidR="00993685" w:rsidRPr="003735E8" w:rsidRDefault="00993685" w:rsidP="003735E8">
            <w:pPr>
              <w:spacing w:after="0" w:line="240" w:lineRule="auto"/>
              <w:rPr>
                <w:rFonts w:ascii="Times New Roman" w:eastAsia="Times New Roman" w:hAnsi="Times New Roman" w:cs="Times New Roman"/>
                <w:sz w:val="24"/>
                <w:szCs w:val="24"/>
                <w:lang w:eastAsia="lv-LV"/>
              </w:rPr>
            </w:pPr>
          </w:p>
        </w:tc>
        <w:tc>
          <w:tcPr>
            <w:tcW w:w="2769" w:type="dxa"/>
            <w:gridSpan w:val="5"/>
            <w:tcBorders>
              <w:top w:val="single" w:sz="4" w:space="0" w:color="auto"/>
              <w:bottom w:val="single" w:sz="4" w:space="0" w:color="auto"/>
            </w:tcBorders>
            <w:shd w:val="clear" w:color="000000" w:fill="FFFFFF"/>
            <w:tcMar>
              <w:left w:w="30" w:type="dxa"/>
              <w:right w:w="30" w:type="dxa"/>
            </w:tcMar>
          </w:tcPr>
          <w:p w14:paraId="0349D74B" w14:textId="77777777" w:rsidR="00993685" w:rsidRPr="003735E8" w:rsidRDefault="00993685" w:rsidP="003735E8">
            <w:pPr>
              <w:spacing w:after="0" w:line="240" w:lineRule="auto"/>
              <w:rPr>
                <w:rFonts w:ascii="Times New Roman" w:eastAsia="Times New Roman" w:hAnsi="Times New Roman" w:cs="Times New Roman"/>
                <w:sz w:val="24"/>
                <w:szCs w:val="24"/>
                <w:lang w:eastAsia="lv-LV"/>
              </w:rPr>
            </w:pPr>
          </w:p>
        </w:tc>
        <w:tc>
          <w:tcPr>
            <w:tcW w:w="5564" w:type="dxa"/>
            <w:gridSpan w:val="7"/>
            <w:tcBorders>
              <w:top w:val="single" w:sz="4" w:space="0" w:color="auto"/>
              <w:bottom w:val="single" w:sz="4" w:space="0" w:color="auto"/>
            </w:tcBorders>
            <w:shd w:val="clear" w:color="000000" w:fill="FFFFFF"/>
            <w:tcMar>
              <w:left w:w="30" w:type="dxa"/>
              <w:right w:w="30" w:type="dxa"/>
            </w:tcMar>
          </w:tcPr>
          <w:p w14:paraId="42D513E4" w14:textId="77777777" w:rsidR="00993685" w:rsidRPr="003735E8" w:rsidRDefault="00993685" w:rsidP="003735E8">
            <w:pPr>
              <w:spacing w:after="0" w:line="240" w:lineRule="auto"/>
              <w:ind w:firstLine="257"/>
              <w:rPr>
                <w:rFonts w:ascii="Times New Roman" w:eastAsia="Times New Roman" w:hAnsi="Times New Roman" w:cs="Times New Roman"/>
                <w:sz w:val="24"/>
                <w:szCs w:val="24"/>
                <w:lang w:eastAsia="lv-LV"/>
              </w:rPr>
            </w:pPr>
          </w:p>
        </w:tc>
      </w:tr>
      <w:tr w:rsidR="00993685" w:rsidRPr="00BC2633" w14:paraId="4D823365"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555"/>
        </w:trPr>
        <w:tc>
          <w:tcPr>
            <w:tcW w:w="9062" w:type="dxa"/>
            <w:gridSpan w:val="15"/>
            <w:tcBorders>
              <w:top w:val="nil"/>
              <w:left w:val="outset" w:sz="6" w:space="0" w:color="414142"/>
              <w:bottom w:val="outset" w:sz="6" w:space="0" w:color="414142"/>
              <w:right w:val="outset" w:sz="6" w:space="0" w:color="414142"/>
            </w:tcBorders>
            <w:vAlign w:val="center"/>
            <w:hideMark/>
          </w:tcPr>
          <w:p w14:paraId="1FD51B3A" w14:textId="77777777" w:rsidR="00993685" w:rsidRPr="00993685" w:rsidRDefault="00993685" w:rsidP="00380C8C">
            <w:pPr>
              <w:spacing w:after="0" w:line="240" w:lineRule="auto"/>
              <w:ind w:firstLine="300"/>
              <w:jc w:val="center"/>
              <w:rPr>
                <w:rFonts w:ascii="Times New Roman" w:eastAsia="Times New Roman" w:hAnsi="Times New Roman" w:cs="Times New Roman"/>
                <w:b/>
                <w:bCs/>
                <w:sz w:val="24"/>
                <w:szCs w:val="24"/>
                <w:lang w:eastAsia="lv-LV"/>
              </w:rPr>
            </w:pPr>
            <w:r w:rsidRPr="00993685">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993685" w:rsidRPr="00993685" w14:paraId="149C0942"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465"/>
        </w:trPr>
        <w:tc>
          <w:tcPr>
            <w:tcW w:w="361" w:type="dxa"/>
            <w:gridSpan w:val="2"/>
            <w:tcBorders>
              <w:top w:val="outset" w:sz="6" w:space="0" w:color="414142"/>
              <w:left w:val="outset" w:sz="6" w:space="0" w:color="414142"/>
              <w:bottom w:val="outset" w:sz="6" w:space="0" w:color="414142"/>
              <w:right w:val="outset" w:sz="6" w:space="0" w:color="414142"/>
            </w:tcBorders>
            <w:hideMark/>
          </w:tcPr>
          <w:p w14:paraId="16FA93CB" w14:textId="77777777" w:rsidR="00993685" w:rsidRPr="00993685" w:rsidRDefault="00993685" w:rsidP="00380C8C">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1.</w:t>
            </w:r>
          </w:p>
        </w:tc>
        <w:tc>
          <w:tcPr>
            <w:tcW w:w="2333" w:type="dxa"/>
            <w:gridSpan w:val="4"/>
            <w:tcBorders>
              <w:top w:val="outset" w:sz="6" w:space="0" w:color="414142"/>
              <w:left w:val="outset" w:sz="6" w:space="0" w:color="414142"/>
              <w:bottom w:val="outset" w:sz="6" w:space="0" w:color="414142"/>
              <w:right w:val="outset" w:sz="6" w:space="0" w:color="414142"/>
            </w:tcBorders>
            <w:hideMark/>
          </w:tcPr>
          <w:p w14:paraId="26048E04" w14:textId="77777777" w:rsidR="00993685" w:rsidRPr="00993685" w:rsidRDefault="00993685" w:rsidP="00380C8C">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Sabiedrības mērķgrupas, kuras tiesiskais regulējums ietekmē vai varētu ietekmēt</w:t>
            </w:r>
          </w:p>
        </w:tc>
        <w:tc>
          <w:tcPr>
            <w:tcW w:w="6368" w:type="dxa"/>
            <w:gridSpan w:val="9"/>
            <w:tcBorders>
              <w:top w:val="outset" w:sz="6" w:space="0" w:color="414142"/>
              <w:left w:val="outset" w:sz="6" w:space="0" w:color="414142"/>
              <w:bottom w:val="outset" w:sz="6" w:space="0" w:color="414142"/>
              <w:right w:val="outset" w:sz="6" w:space="0" w:color="414142"/>
            </w:tcBorders>
            <w:hideMark/>
          </w:tcPr>
          <w:p w14:paraId="17C8FCEF" w14:textId="72686668" w:rsidR="00993685" w:rsidRPr="00993685" w:rsidRDefault="00C96B0D" w:rsidP="00380C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E14B8E">
              <w:rPr>
                <w:rFonts w:ascii="Times New Roman" w:eastAsia="Times New Roman" w:hAnsi="Times New Roman" w:cs="Times New Roman"/>
                <w:sz w:val="24"/>
                <w:szCs w:val="24"/>
                <w:lang w:eastAsia="lv-LV"/>
              </w:rPr>
              <w:t>aunais regulējums mainīs prokurora palīga pienākumu apjomu</w:t>
            </w:r>
            <w:r w:rsidR="000E0B69">
              <w:rPr>
                <w:rFonts w:ascii="Times New Roman" w:eastAsia="Times New Roman" w:hAnsi="Times New Roman" w:cs="Times New Roman"/>
                <w:sz w:val="24"/>
                <w:szCs w:val="24"/>
                <w:lang w:eastAsia="lv-LV"/>
              </w:rPr>
              <w:t xml:space="preserve">.  </w:t>
            </w:r>
            <w:r w:rsidR="00E55402">
              <w:rPr>
                <w:rFonts w:ascii="Times New Roman" w:eastAsia="Times New Roman" w:hAnsi="Times New Roman" w:cs="Times New Roman"/>
                <w:sz w:val="24"/>
                <w:szCs w:val="24"/>
                <w:lang w:eastAsia="lv-LV"/>
              </w:rPr>
              <w:t xml:space="preserve">Prokuratūrā ir </w:t>
            </w:r>
            <w:r w:rsidR="00E14B8E">
              <w:rPr>
                <w:rFonts w:ascii="Times New Roman" w:eastAsia="Times New Roman" w:hAnsi="Times New Roman" w:cs="Times New Roman"/>
                <w:sz w:val="24"/>
                <w:szCs w:val="24"/>
                <w:lang w:eastAsia="lv-LV"/>
              </w:rPr>
              <w:t>80 prokurora palīg</w:t>
            </w:r>
            <w:r w:rsidR="000E0B69">
              <w:rPr>
                <w:rFonts w:ascii="Times New Roman" w:eastAsia="Times New Roman" w:hAnsi="Times New Roman" w:cs="Times New Roman"/>
                <w:sz w:val="24"/>
                <w:szCs w:val="24"/>
                <w:lang w:eastAsia="lv-LV"/>
              </w:rPr>
              <w:t>u</w:t>
            </w:r>
            <w:r w:rsidR="00E14B8E">
              <w:rPr>
                <w:rFonts w:ascii="Times New Roman" w:eastAsia="Times New Roman" w:hAnsi="Times New Roman" w:cs="Times New Roman"/>
                <w:sz w:val="24"/>
                <w:szCs w:val="24"/>
                <w:lang w:eastAsia="lv-LV"/>
              </w:rPr>
              <w:t xml:space="preserve"> </w:t>
            </w:r>
            <w:r w:rsidR="00E55402">
              <w:rPr>
                <w:rFonts w:ascii="Times New Roman" w:eastAsia="Times New Roman" w:hAnsi="Times New Roman" w:cs="Times New Roman"/>
                <w:sz w:val="24"/>
                <w:szCs w:val="24"/>
                <w:lang w:eastAsia="lv-LV"/>
              </w:rPr>
              <w:t xml:space="preserve">amata </w:t>
            </w:r>
            <w:r w:rsidR="00E14B8E">
              <w:rPr>
                <w:rFonts w:ascii="Times New Roman" w:eastAsia="Times New Roman" w:hAnsi="Times New Roman" w:cs="Times New Roman"/>
                <w:sz w:val="24"/>
                <w:szCs w:val="24"/>
                <w:lang w:eastAsia="lv-LV"/>
              </w:rPr>
              <w:t>viet</w:t>
            </w:r>
            <w:r w:rsidR="00E55402">
              <w:rPr>
                <w:rFonts w:ascii="Times New Roman" w:eastAsia="Times New Roman" w:hAnsi="Times New Roman" w:cs="Times New Roman"/>
                <w:sz w:val="24"/>
                <w:szCs w:val="24"/>
                <w:lang w:eastAsia="lv-LV"/>
              </w:rPr>
              <w:t>as</w:t>
            </w:r>
            <w:r w:rsidR="000E0B69">
              <w:rPr>
                <w:rFonts w:ascii="Times New Roman" w:eastAsia="Times New Roman" w:hAnsi="Times New Roman" w:cs="Times New Roman"/>
                <w:sz w:val="24"/>
                <w:szCs w:val="24"/>
                <w:lang w:eastAsia="lv-LV"/>
              </w:rPr>
              <w:t>.</w:t>
            </w:r>
            <w:r w:rsidR="00E14B8E">
              <w:rPr>
                <w:rFonts w:ascii="Times New Roman" w:eastAsia="Times New Roman" w:hAnsi="Times New Roman" w:cs="Times New Roman"/>
                <w:sz w:val="24"/>
                <w:szCs w:val="24"/>
                <w:lang w:eastAsia="lv-LV"/>
              </w:rPr>
              <w:t xml:space="preserve"> </w:t>
            </w:r>
          </w:p>
        </w:tc>
      </w:tr>
      <w:tr w:rsidR="00993685" w:rsidRPr="00993685" w14:paraId="1EB4811F"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510"/>
        </w:trPr>
        <w:tc>
          <w:tcPr>
            <w:tcW w:w="361" w:type="dxa"/>
            <w:gridSpan w:val="2"/>
            <w:tcBorders>
              <w:top w:val="outset" w:sz="6" w:space="0" w:color="414142"/>
              <w:left w:val="outset" w:sz="6" w:space="0" w:color="414142"/>
              <w:bottom w:val="outset" w:sz="6" w:space="0" w:color="414142"/>
              <w:right w:val="outset" w:sz="6" w:space="0" w:color="414142"/>
            </w:tcBorders>
            <w:hideMark/>
          </w:tcPr>
          <w:p w14:paraId="411BF7CD" w14:textId="77777777" w:rsidR="00993685" w:rsidRPr="00993685" w:rsidRDefault="00993685" w:rsidP="00380C8C">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2.</w:t>
            </w:r>
          </w:p>
        </w:tc>
        <w:tc>
          <w:tcPr>
            <w:tcW w:w="2333" w:type="dxa"/>
            <w:gridSpan w:val="4"/>
            <w:tcBorders>
              <w:top w:val="outset" w:sz="6" w:space="0" w:color="414142"/>
              <w:left w:val="outset" w:sz="6" w:space="0" w:color="414142"/>
              <w:bottom w:val="outset" w:sz="6" w:space="0" w:color="414142"/>
              <w:right w:val="outset" w:sz="6" w:space="0" w:color="414142"/>
            </w:tcBorders>
            <w:hideMark/>
          </w:tcPr>
          <w:p w14:paraId="68FE509B" w14:textId="77777777" w:rsidR="00993685" w:rsidRPr="00993685" w:rsidRDefault="00993685" w:rsidP="00380C8C">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Tiesiskā regulējuma ietekme uz tautsaimniecību un administratīvo slogu</w:t>
            </w:r>
          </w:p>
        </w:tc>
        <w:tc>
          <w:tcPr>
            <w:tcW w:w="6368" w:type="dxa"/>
            <w:gridSpan w:val="9"/>
            <w:tcBorders>
              <w:top w:val="outset" w:sz="6" w:space="0" w:color="414142"/>
              <w:left w:val="outset" w:sz="6" w:space="0" w:color="414142"/>
              <w:bottom w:val="outset" w:sz="6" w:space="0" w:color="414142"/>
              <w:right w:val="outset" w:sz="6" w:space="0" w:color="414142"/>
            </w:tcBorders>
            <w:hideMark/>
          </w:tcPr>
          <w:p w14:paraId="19990729" w14:textId="6B0019E3" w:rsidR="00993685" w:rsidRPr="00993685" w:rsidRDefault="00E55402" w:rsidP="00E55402">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Prokuratūras administratīvais slogs nepalielināsies</w:t>
            </w:r>
          </w:p>
        </w:tc>
      </w:tr>
      <w:tr w:rsidR="00993685" w:rsidRPr="00993685" w14:paraId="1062A5C0"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510"/>
        </w:trPr>
        <w:tc>
          <w:tcPr>
            <w:tcW w:w="361" w:type="dxa"/>
            <w:gridSpan w:val="2"/>
            <w:tcBorders>
              <w:top w:val="outset" w:sz="6" w:space="0" w:color="414142"/>
              <w:left w:val="outset" w:sz="6" w:space="0" w:color="414142"/>
              <w:bottom w:val="outset" w:sz="6" w:space="0" w:color="414142"/>
              <w:right w:val="outset" w:sz="6" w:space="0" w:color="414142"/>
            </w:tcBorders>
            <w:hideMark/>
          </w:tcPr>
          <w:p w14:paraId="0DCA31D8"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3.</w:t>
            </w:r>
          </w:p>
        </w:tc>
        <w:tc>
          <w:tcPr>
            <w:tcW w:w="2333" w:type="dxa"/>
            <w:gridSpan w:val="4"/>
            <w:tcBorders>
              <w:top w:val="outset" w:sz="6" w:space="0" w:color="414142"/>
              <w:left w:val="outset" w:sz="6" w:space="0" w:color="414142"/>
              <w:bottom w:val="outset" w:sz="6" w:space="0" w:color="414142"/>
              <w:right w:val="outset" w:sz="6" w:space="0" w:color="414142"/>
            </w:tcBorders>
            <w:hideMark/>
          </w:tcPr>
          <w:p w14:paraId="20E6EC0F"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Administratīvo izmaksu monetārs novērtējums</w:t>
            </w:r>
          </w:p>
        </w:tc>
        <w:tc>
          <w:tcPr>
            <w:tcW w:w="6368" w:type="dxa"/>
            <w:gridSpan w:val="9"/>
            <w:tcBorders>
              <w:top w:val="outset" w:sz="6" w:space="0" w:color="414142"/>
              <w:left w:val="outset" w:sz="6" w:space="0" w:color="414142"/>
              <w:bottom w:val="outset" w:sz="6" w:space="0" w:color="414142"/>
              <w:right w:val="outset" w:sz="6" w:space="0" w:color="414142"/>
            </w:tcBorders>
            <w:hideMark/>
          </w:tcPr>
          <w:p w14:paraId="55FAC4F4" w14:textId="7E70614A" w:rsidR="00993685" w:rsidRPr="00993685" w:rsidRDefault="00993685" w:rsidP="0099368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993685" w:rsidRPr="00993685" w14:paraId="466CC8FC"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510"/>
        </w:trPr>
        <w:tc>
          <w:tcPr>
            <w:tcW w:w="361" w:type="dxa"/>
            <w:gridSpan w:val="2"/>
            <w:tcBorders>
              <w:top w:val="outset" w:sz="6" w:space="0" w:color="414142"/>
              <w:left w:val="outset" w:sz="6" w:space="0" w:color="414142"/>
              <w:bottom w:val="outset" w:sz="6" w:space="0" w:color="414142"/>
              <w:right w:val="outset" w:sz="6" w:space="0" w:color="414142"/>
            </w:tcBorders>
          </w:tcPr>
          <w:p w14:paraId="337D79D0"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4.</w:t>
            </w:r>
          </w:p>
        </w:tc>
        <w:tc>
          <w:tcPr>
            <w:tcW w:w="2333" w:type="dxa"/>
            <w:gridSpan w:val="4"/>
            <w:tcBorders>
              <w:top w:val="outset" w:sz="6" w:space="0" w:color="414142"/>
              <w:left w:val="outset" w:sz="6" w:space="0" w:color="414142"/>
              <w:bottom w:val="outset" w:sz="6" w:space="0" w:color="414142"/>
              <w:right w:val="outset" w:sz="6" w:space="0" w:color="414142"/>
            </w:tcBorders>
          </w:tcPr>
          <w:p w14:paraId="6FB6E9D7"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Atbilstības izmaksu monetārs novērtējums</w:t>
            </w:r>
          </w:p>
        </w:tc>
        <w:tc>
          <w:tcPr>
            <w:tcW w:w="6368" w:type="dxa"/>
            <w:gridSpan w:val="9"/>
            <w:tcBorders>
              <w:top w:val="outset" w:sz="6" w:space="0" w:color="414142"/>
              <w:left w:val="outset" w:sz="6" w:space="0" w:color="414142"/>
              <w:bottom w:val="outset" w:sz="6" w:space="0" w:color="414142"/>
              <w:right w:val="outset" w:sz="6" w:space="0" w:color="414142"/>
            </w:tcBorders>
          </w:tcPr>
          <w:p w14:paraId="5735CFAB" w14:textId="5870D6AE" w:rsidR="00993685" w:rsidRPr="00993685" w:rsidRDefault="00993685" w:rsidP="0099368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993685" w:rsidRPr="00993685" w14:paraId="315F218A"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345"/>
        </w:trPr>
        <w:tc>
          <w:tcPr>
            <w:tcW w:w="361" w:type="dxa"/>
            <w:gridSpan w:val="2"/>
            <w:tcBorders>
              <w:top w:val="outset" w:sz="6" w:space="0" w:color="414142"/>
              <w:left w:val="outset" w:sz="6" w:space="0" w:color="414142"/>
              <w:bottom w:val="outset" w:sz="6" w:space="0" w:color="414142"/>
              <w:right w:val="outset" w:sz="6" w:space="0" w:color="414142"/>
            </w:tcBorders>
            <w:hideMark/>
          </w:tcPr>
          <w:p w14:paraId="56673AAC"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5.</w:t>
            </w:r>
          </w:p>
        </w:tc>
        <w:tc>
          <w:tcPr>
            <w:tcW w:w="2333" w:type="dxa"/>
            <w:gridSpan w:val="4"/>
            <w:tcBorders>
              <w:top w:val="outset" w:sz="6" w:space="0" w:color="414142"/>
              <w:left w:val="outset" w:sz="6" w:space="0" w:color="414142"/>
              <w:bottom w:val="outset" w:sz="6" w:space="0" w:color="414142"/>
              <w:right w:val="outset" w:sz="6" w:space="0" w:color="414142"/>
            </w:tcBorders>
            <w:hideMark/>
          </w:tcPr>
          <w:p w14:paraId="5142AB21"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Cita informācija</w:t>
            </w:r>
          </w:p>
        </w:tc>
        <w:tc>
          <w:tcPr>
            <w:tcW w:w="6368" w:type="dxa"/>
            <w:gridSpan w:val="9"/>
            <w:tcBorders>
              <w:top w:val="outset" w:sz="6" w:space="0" w:color="414142"/>
              <w:left w:val="outset" w:sz="6" w:space="0" w:color="414142"/>
              <w:bottom w:val="outset" w:sz="6" w:space="0" w:color="414142"/>
              <w:right w:val="outset" w:sz="6" w:space="0" w:color="414142"/>
            </w:tcBorders>
            <w:hideMark/>
          </w:tcPr>
          <w:p w14:paraId="05ABF83E" w14:textId="77777777" w:rsidR="00993685" w:rsidRPr="00993685" w:rsidRDefault="00993685" w:rsidP="00993685">
            <w:pPr>
              <w:spacing w:after="0" w:line="240" w:lineRule="auto"/>
              <w:jc w:val="both"/>
              <w:rPr>
                <w:rFonts w:ascii="Times New Roman" w:eastAsia="Times New Roman" w:hAnsi="Times New Roman" w:cs="Times New Roman"/>
                <w:sz w:val="24"/>
                <w:szCs w:val="24"/>
                <w:lang w:eastAsia="lv-LV"/>
              </w:rPr>
            </w:pPr>
            <w:r w:rsidRPr="00993685">
              <w:rPr>
                <w:rFonts w:ascii="Times New Roman" w:eastAsia="Times New Roman" w:hAnsi="Times New Roman" w:cs="Times New Roman"/>
                <w:sz w:val="24"/>
                <w:szCs w:val="24"/>
                <w:lang w:eastAsia="lv-LV"/>
              </w:rPr>
              <w:t>Nav.</w:t>
            </w:r>
          </w:p>
        </w:tc>
      </w:tr>
      <w:tr w:rsidR="00993685" w:rsidRPr="00993685" w14:paraId="05A4C697"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10" w:type="dxa"/>
          <w:trHeight w:val="345"/>
        </w:trPr>
        <w:tc>
          <w:tcPr>
            <w:tcW w:w="361" w:type="dxa"/>
            <w:gridSpan w:val="2"/>
            <w:tcBorders>
              <w:top w:val="outset" w:sz="6" w:space="0" w:color="414142"/>
              <w:left w:val="nil"/>
              <w:bottom w:val="single" w:sz="4" w:space="0" w:color="auto"/>
              <w:right w:val="nil"/>
            </w:tcBorders>
          </w:tcPr>
          <w:p w14:paraId="7FE4EE61" w14:textId="065BACE1" w:rsidR="00993685" w:rsidRPr="00993685" w:rsidRDefault="00993685" w:rsidP="00993685">
            <w:pPr>
              <w:spacing w:after="0" w:line="240" w:lineRule="auto"/>
              <w:rPr>
                <w:rFonts w:ascii="Times New Roman" w:eastAsia="Times New Roman" w:hAnsi="Times New Roman" w:cs="Times New Roman"/>
                <w:sz w:val="24"/>
                <w:szCs w:val="24"/>
                <w:lang w:eastAsia="lv-LV"/>
              </w:rPr>
            </w:pPr>
          </w:p>
        </w:tc>
        <w:tc>
          <w:tcPr>
            <w:tcW w:w="2333" w:type="dxa"/>
            <w:gridSpan w:val="4"/>
            <w:tcBorders>
              <w:top w:val="outset" w:sz="6" w:space="0" w:color="414142"/>
              <w:left w:val="nil"/>
              <w:bottom w:val="single" w:sz="4" w:space="0" w:color="auto"/>
              <w:right w:val="nil"/>
            </w:tcBorders>
          </w:tcPr>
          <w:p w14:paraId="0C99F674" w14:textId="77777777" w:rsidR="00993685" w:rsidRPr="00993685" w:rsidRDefault="00993685" w:rsidP="00993685">
            <w:pPr>
              <w:spacing w:after="0" w:line="240" w:lineRule="auto"/>
              <w:rPr>
                <w:rFonts w:ascii="Times New Roman" w:eastAsia="Times New Roman" w:hAnsi="Times New Roman" w:cs="Times New Roman"/>
                <w:sz w:val="24"/>
                <w:szCs w:val="24"/>
                <w:lang w:eastAsia="lv-LV"/>
              </w:rPr>
            </w:pPr>
          </w:p>
        </w:tc>
        <w:tc>
          <w:tcPr>
            <w:tcW w:w="6368" w:type="dxa"/>
            <w:gridSpan w:val="9"/>
            <w:tcBorders>
              <w:top w:val="outset" w:sz="6" w:space="0" w:color="414142"/>
              <w:left w:val="nil"/>
              <w:bottom w:val="single" w:sz="4" w:space="0" w:color="auto"/>
              <w:right w:val="nil"/>
            </w:tcBorders>
          </w:tcPr>
          <w:p w14:paraId="09907352" w14:textId="77777777" w:rsidR="00993685" w:rsidRPr="00993685" w:rsidRDefault="00993685" w:rsidP="00993685">
            <w:pPr>
              <w:spacing w:after="0" w:line="240" w:lineRule="auto"/>
              <w:jc w:val="both"/>
              <w:rPr>
                <w:rFonts w:ascii="Times New Roman" w:eastAsia="Times New Roman" w:hAnsi="Times New Roman" w:cs="Times New Roman"/>
                <w:sz w:val="24"/>
                <w:szCs w:val="24"/>
                <w:lang w:eastAsia="lv-LV"/>
              </w:rPr>
            </w:pPr>
          </w:p>
        </w:tc>
      </w:tr>
      <w:tr w:rsidR="00993685" w14:paraId="053B7B30"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9072" w:type="dxa"/>
            <w:gridSpan w:val="1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F507DC"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 Tiesību akta projekta ietekme uz valsts budžetu un pašvaldību budžetiem</w:t>
            </w:r>
          </w:p>
        </w:tc>
      </w:tr>
      <w:tr w:rsidR="00993685" w14:paraId="0D130EB6"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F18201"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Rādītāji</w:t>
            </w:r>
          </w:p>
        </w:tc>
        <w:tc>
          <w:tcPr>
            <w:tcW w:w="2087" w:type="dxa"/>
            <w:gridSpan w:val="5"/>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154897"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n-gads</w:t>
            </w:r>
          </w:p>
        </w:tc>
        <w:tc>
          <w:tcPr>
            <w:tcW w:w="4874"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8E95BC"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Turpmākie trīs gadi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tc>
      </w:tr>
      <w:tr w:rsidR="00993685" w14:paraId="7F40984F"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28258C" w14:textId="77777777" w:rsidR="00993685" w:rsidRDefault="00993685" w:rsidP="00993685">
            <w:pPr>
              <w:spacing w:after="0"/>
              <w:rPr>
                <w:rFonts w:ascii="Times New Roman" w:eastAsia="Times New Roman" w:hAnsi="Times New Roman" w:cs="Times New Roman"/>
                <w:sz w:val="24"/>
                <w:szCs w:val="24"/>
              </w:rPr>
            </w:pPr>
          </w:p>
        </w:tc>
        <w:tc>
          <w:tcPr>
            <w:tcW w:w="2087" w:type="dxa"/>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354600" w14:textId="77777777" w:rsidR="00993685" w:rsidRDefault="00993685" w:rsidP="00993685">
            <w:pPr>
              <w:spacing w:after="0"/>
              <w:rPr>
                <w:rFonts w:ascii="Times New Roman" w:eastAsia="Times New Roman" w:hAnsi="Times New Roman" w:cs="Times New Roman"/>
                <w:sz w:val="24"/>
                <w:szCs w:val="24"/>
              </w:rPr>
            </w:pPr>
          </w:p>
        </w:tc>
        <w:tc>
          <w:tcPr>
            <w:tcW w:w="199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CB352F"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n+1</w:t>
            </w:r>
          </w:p>
        </w:tc>
        <w:tc>
          <w:tcPr>
            <w:tcW w:w="199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C414FB"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n+2</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65B0E8"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n+3</w:t>
            </w:r>
          </w:p>
        </w:tc>
      </w:tr>
      <w:tr w:rsidR="00993685" w14:paraId="5C93DC78"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1FFB58" w14:textId="77777777" w:rsidR="00993685" w:rsidRDefault="00993685" w:rsidP="00993685">
            <w:pPr>
              <w:spacing w:after="0"/>
              <w:rPr>
                <w:rFonts w:ascii="Times New Roman" w:eastAsia="Times New Roman" w:hAnsi="Times New Roman" w:cs="Times New Roman"/>
                <w:sz w:val="24"/>
                <w:szCs w:val="24"/>
              </w:rPr>
            </w:pP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FA477F"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valsts budžetu kārtējam gadam</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95959A"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kārtējā gadā, salīdzinot ar valsts budžetu kārtējam gadam</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98ECD8"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vidēja termiņa budžeta ietvaru</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C2E146"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vidēja termiņa budžeta ietvaru n+1 gadam</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492D39"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vidēja termiņa budžeta ietvaru</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58A1AC"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vidēja termiņa budžeta ietvaru n+2 gadam</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3F25A4"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vidēja termiņa budžeta ietvaru n+2 gadam</w:t>
            </w:r>
          </w:p>
        </w:tc>
      </w:tr>
      <w:tr w:rsidR="00993685" w14:paraId="3BE7B290"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7DC3E8"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D16CBB"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45066B"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141176"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EEA67F"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762CAE"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CE12F"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796F9" w14:textId="77777777" w:rsidR="00993685" w:rsidRDefault="00993685" w:rsidP="00993685">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93685" w14:paraId="537351D2"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2BA0B90"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Budžeta ieņēmumi</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5A7790" w14:textId="033B152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A9D0DE" w14:textId="0CA65C7F"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BE8A60" w14:textId="65372EE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CF416A" w14:textId="110E6E29"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D76B9" w14:textId="71A4CBD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904A4F" w14:textId="5A2C2894"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7F8DE4" w14:textId="6B1DA82E"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018FD510"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A16D802"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valsts pamatbudžets, tai skaitā ieņēmumi no maksas pakalpojumiem un citi pašu ieņēmumi</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697BBA" w14:textId="64460DCE"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C4E7C" w14:textId="6E8C914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BC291" w14:textId="21AED4F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03EE26" w14:textId="4B2C149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D3E77F" w14:textId="751DD18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64B5BF" w14:textId="13FCBDA8"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9D4C95" w14:textId="620488C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3B148565"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5ED6DA1"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valsts speciālais 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93706B" w14:textId="0CBDA3F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4C56F4" w14:textId="62473249"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B08AF0" w14:textId="6060FD4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CEE0DC" w14:textId="03E14FB5"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951494" w14:textId="75BB8E18"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4339E2" w14:textId="3747298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107991" w14:textId="4010EEC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743EEBFA"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D4E45BE"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pašvaldību 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D63987" w14:textId="36B828AF"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69D006" w14:textId="51FDA155"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5E6A2C" w14:textId="0A2318F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1BD45B" w14:textId="7F81827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AE6DA4" w14:textId="2676D4B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10A76" w14:textId="37CA4C7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EB418E" w14:textId="66E4339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0B56F2EA"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CEFDEB7"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Budžeta izdevumi</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3FE6EE" w14:textId="5B083C2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8AE0C5" w14:textId="65F89B4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DDDB21" w14:textId="0D6AD1D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2C5AAE" w14:textId="5600B1B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9F88F2" w14:textId="49AC5D6E"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558D8B" w14:textId="74891DAC"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24016A" w14:textId="0C176A0E"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7DD3AD1D"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1B19F5A"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valsts pamatbudžets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3AF6D8" w14:textId="73ADC0E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1C8A53" w14:textId="6BCEED9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F33B10" w14:textId="7C7E456C"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2DB566" w14:textId="133A32A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94C2B2" w14:textId="4B44521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FE3328" w14:textId="170DE08C"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FD4F2F" w14:textId="2045954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2368D48D"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CA53915"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valsts speciālais 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8BA4BC" w14:textId="3AB5F23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3B8C6C" w14:textId="711A98CC"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86FA0E" w14:textId="2464C25F"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33B76F" w14:textId="48817E85"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11210C" w14:textId="0A6C2A70"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2DAFCA" w14:textId="72A4BA6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BD9779" w14:textId="287BF140"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3220C9EA"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7AEE5AA"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pašvaldību 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AD6653" w14:textId="2ADF7D2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3B6781" w14:textId="5AD0E38F"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FE822D" w14:textId="1AB6CD1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D4C8AB" w14:textId="71E7245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233D8A" w14:textId="3490696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FC7C85" w14:textId="23282F5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41ECA9" w14:textId="35E2E9C9"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62A26224"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EEEEA87"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Finansiālā ietekme</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A812B0" w14:textId="4B6A7C9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E1B504" w14:textId="4F3A9C46"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EA3471" w14:textId="168A0718"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EAB2A8" w14:textId="483ED924"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D4CE8B" w14:textId="57AC1848"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04798C" w14:textId="002C648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B7BB89" w14:textId="5D2F8D1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141FA223"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A9BE416"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valsts pamatbudžets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89CDC7" w14:textId="2E1D277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A7FE18" w14:textId="2F802E4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CBBE68" w14:textId="637CA4D9"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544D88" w14:textId="3FCCFC1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2F4B9F" w14:textId="4219C89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74FE48" w14:textId="7230329F"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4C0319" w14:textId="0443EF9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18346370"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C9BDA34"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speciālais 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0ECD4A" w14:textId="35F0B1D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E665E7" w14:textId="6DE43024"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E0167A" w14:textId="6617D28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CB0BB4" w14:textId="3AF3A1C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CD9DF" w14:textId="3E130515"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8F25EB" w14:textId="7AB6D24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AE5D0D" w14:textId="3D4A431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2C6381F1"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CD77D81"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pašvaldību budžets</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F69215" w14:textId="2F919C3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4F0FC3" w14:textId="0021E24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1C8767" w14:textId="2EF2E63C"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8352E8" w14:textId="37774BD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107BFB" w14:textId="52AD5A29"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70FCAA" w14:textId="5F68C09E"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99CD3D" w14:textId="64FD037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7ED009EB"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07CB9CB"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Finanšu līdzekļi papildu izdevumu finansēšanai (kompensējošu izdevumu samazinājumu norāda ar "+" zīmi)</w:t>
            </w:r>
          </w:p>
        </w:tc>
        <w:tc>
          <w:tcPr>
            <w:tcW w:w="1033" w:type="dxa"/>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F05FE9" w14:textId="76A62AC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9C4C34" w14:textId="5FC34DA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24550A" w14:textId="6286351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F148F" w14:textId="51B07DA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248711" w14:textId="50B2528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5E7E33" w14:textId="6415CD4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1C615C" w14:textId="597B40A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01D7DFD9"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E19742F"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Precizēta finansiālā ietekme</w:t>
            </w:r>
          </w:p>
        </w:tc>
        <w:tc>
          <w:tcPr>
            <w:tcW w:w="1033" w:type="dxa"/>
            <w:gridSpan w:val="3"/>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8AF3A3" w14:textId="7AD0C9D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B16F68" w14:textId="36DBAE45"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0BD5A8" w14:textId="24B96868"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04A0D" w14:textId="77E7215D"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F59B27" w14:textId="3371FA4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4E1D7A" w14:textId="369A9669"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CDCA54" w14:textId="686C1EA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283F0261"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1B32773"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valsts pamatbudžets</w:t>
            </w:r>
          </w:p>
        </w:tc>
        <w:tc>
          <w:tcPr>
            <w:tcW w:w="1033" w:type="dxa"/>
            <w:gridSpan w:val="3"/>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FD59A5"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64EAE0" w14:textId="78F7E6D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938EB5"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D68EFE" w14:textId="595FC243"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388CEE"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833417" w14:textId="63890B3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7247F2" w14:textId="16E01022"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20B6BD82"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44B198F"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speciālais budžets</w:t>
            </w:r>
          </w:p>
        </w:tc>
        <w:tc>
          <w:tcPr>
            <w:tcW w:w="1033" w:type="dxa"/>
            <w:gridSpan w:val="3"/>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204005"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44B4B8" w14:textId="2CD7B5AE"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D5B376"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28DAF" w14:textId="6A61991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1247EB"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5DD7F1" w14:textId="1B802B5A"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1FCAA" w14:textId="3D3A1E9B"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5FD6EE12"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D90DD19"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 pašvaldību budžets</w:t>
            </w:r>
          </w:p>
        </w:tc>
        <w:tc>
          <w:tcPr>
            <w:tcW w:w="1033" w:type="dxa"/>
            <w:gridSpan w:val="3"/>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7EDCC0"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E79554" w14:textId="79B4FCB1"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58A0B7"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A6739" w14:textId="2F4F1115"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F6A7E9" w14:textId="77777777" w:rsidR="00993685" w:rsidRDefault="00993685" w:rsidP="00993685">
            <w:pPr>
              <w:spacing w:after="0"/>
              <w:jc w:val="center"/>
              <w:rPr>
                <w:rFonts w:ascii="Times New Roman" w:eastAsia="Times New Roman" w:hAnsi="Times New Roman" w:cs="Times New Roman"/>
                <w:sz w:val="24"/>
                <w:szCs w:val="24"/>
              </w:rPr>
            </w:pPr>
          </w:p>
        </w:tc>
        <w:tc>
          <w:tcPr>
            <w:tcW w:w="105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9463F1" w14:textId="1F0BE487"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CB0DA3" w14:textId="074F12FF" w:rsidR="00993685" w:rsidRDefault="00993685" w:rsidP="009936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3685" w14:paraId="4969FB36"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37809CC"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6961" w:type="dxa"/>
            <w:gridSpan w:val="11"/>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1CA81B" w14:textId="24B4C846" w:rsidR="00993685" w:rsidRDefault="007F5F3A"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šo jomu neskar.</w:t>
            </w:r>
          </w:p>
        </w:tc>
      </w:tr>
      <w:tr w:rsidR="00993685" w14:paraId="03AF448D"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1D71393"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detalizēts ieņēmumu aprēķins</w:t>
            </w:r>
          </w:p>
        </w:tc>
        <w:tc>
          <w:tcPr>
            <w:tcW w:w="6961" w:type="dxa"/>
            <w:gridSpan w:val="11"/>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16906C" w14:textId="77777777" w:rsidR="00993685" w:rsidRDefault="00993685" w:rsidP="00993685">
            <w:pPr>
              <w:spacing w:after="0"/>
              <w:rPr>
                <w:rFonts w:ascii="Times New Roman" w:eastAsia="Times New Roman" w:hAnsi="Times New Roman" w:cs="Times New Roman"/>
                <w:sz w:val="24"/>
                <w:szCs w:val="24"/>
              </w:rPr>
            </w:pPr>
          </w:p>
        </w:tc>
      </w:tr>
      <w:tr w:rsidR="00993685" w14:paraId="6B9CF5FF"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5E57A02"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detalizēts izdevumu aprēķins</w:t>
            </w:r>
          </w:p>
        </w:tc>
        <w:tc>
          <w:tcPr>
            <w:tcW w:w="6961" w:type="dxa"/>
            <w:gridSpan w:val="11"/>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86A60B" w14:textId="77777777" w:rsidR="00993685" w:rsidRDefault="00993685" w:rsidP="00993685">
            <w:pPr>
              <w:spacing w:after="0"/>
              <w:rPr>
                <w:rFonts w:ascii="Times New Roman" w:eastAsia="Times New Roman" w:hAnsi="Times New Roman" w:cs="Times New Roman"/>
                <w:sz w:val="24"/>
                <w:szCs w:val="24"/>
              </w:rPr>
            </w:pPr>
          </w:p>
        </w:tc>
      </w:tr>
      <w:tr w:rsidR="00993685" w14:paraId="767FA74C"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F96172B"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Amata vietu skaita izmaiņas</w:t>
            </w:r>
          </w:p>
        </w:tc>
        <w:tc>
          <w:tcPr>
            <w:tcW w:w="6961" w:type="dxa"/>
            <w:gridSpan w:val="11"/>
            <w:tcBorders>
              <w:top w:val="outset" w:sz="6" w:space="0" w:color="414142"/>
              <w:left w:val="outset" w:sz="6" w:space="0" w:color="414142"/>
              <w:bottom w:val="outset" w:sz="6" w:space="0" w:color="414142"/>
              <w:right w:val="outset" w:sz="6" w:space="0" w:color="414142"/>
            </w:tcBorders>
            <w:shd w:val="clear" w:color="auto" w:fill="FFFFFF"/>
            <w:hideMark/>
          </w:tcPr>
          <w:p w14:paraId="3C03BD3D" w14:textId="5CD85F6C" w:rsidR="00993685" w:rsidRDefault="007F5F3A"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šo jomu neskar.</w:t>
            </w:r>
          </w:p>
        </w:tc>
      </w:tr>
      <w:tr w:rsidR="00993685" w14:paraId="135A7F28" w14:textId="77777777" w:rsidTr="007F5F3A">
        <w:tblPrEx>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2111" w:type="dxa"/>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A41FC28" w14:textId="77777777" w:rsidR="00993685" w:rsidRDefault="00993685" w:rsidP="00993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Cita informācija</w:t>
            </w:r>
          </w:p>
        </w:tc>
        <w:tc>
          <w:tcPr>
            <w:tcW w:w="6961" w:type="dxa"/>
            <w:gridSpan w:val="11"/>
            <w:tcBorders>
              <w:top w:val="outset" w:sz="6" w:space="0" w:color="414142"/>
              <w:left w:val="outset" w:sz="6" w:space="0" w:color="414142"/>
              <w:bottom w:val="outset" w:sz="6" w:space="0" w:color="414142"/>
              <w:right w:val="outset" w:sz="6" w:space="0" w:color="414142"/>
            </w:tcBorders>
            <w:shd w:val="clear" w:color="auto" w:fill="FFFFFF"/>
            <w:hideMark/>
          </w:tcPr>
          <w:p w14:paraId="70735395" w14:textId="3442FC4B" w:rsidR="00993685" w:rsidRDefault="007F5F3A" w:rsidP="0099368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Strukturālo</w:t>
            </w:r>
            <w:r w:rsidRPr="00BB7936">
              <w:rPr>
                <w:rFonts w:ascii="Times New Roman" w:hAnsi="Times New Roman" w:cs="Times New Roman"/>
                <w:sz w:val="24"/>
                <w:szCs w:val="24"/>
              </w:rPr>
              <w:t xml:space="preserve"> izmaiņu veikšanai un atalgojuma palielināšanai papildu budžeta līdzekļi nav nepieciešami, tam tiks rasti finanšu līdzekļi esošā prokuratūras budžeta ietvaros.</w:t>
            </w:r>
          </w:p>
        </w:tc>
      </w:tr>
      <w:tr w:rsidR="00993685" w:rsidRPr="003735E8" w14:paraId="7A0C3BD4" w14:textId="77777777" w:rsidTr="007F5F3A">
        <w:tc>
          <w:tcPr>
            <w:tcW w:w="9072" w:type="dxa"/>
            <w:gridSpan w:val="16"/>
            <w:shd w:val="clear" w:color="000000" w:fill="FFFFFF"/>
            <w:tcMar>
              <w:left w:w="30" w:type="dxa"/>
              <w:right w:w="30" w:type="dxa"/>
            </w:tcMar>
          </w:tcPr>
          <w:p w14:paraId="551EA477" w14:textId="77777777" w:rsidR="00993685" w:rsidRPr="003735E8" w:rsidRDefault="00993685" w:rsidP="00993685">
            <w:pPr>
              <w:spacing w:after="0" w:line="240" w:lineRule="auto"/>
              <w:rPr>
                <w:rFonts w:ascii="Times New Roman" w:eastAsia="Times New Roman" w:hAnsi="Times New Roman" w:cs="Times New Roman"/>
                <w:sz w:val="24"/>
                <w:szCs w:val="24"/>
                <w:lang w:eastAsia="lv-LV"/>
              </w:rPr>
            </w:pPr>
          </w:p>
          <w:tbl>
            <w:tblPr>
              <w:tblStyle w:val="Reatabulagaia"/>
              <w:tblW w:w="5000" w:type="pct"/>
              <w:tblInd w:w="0" w:type="dxa"/>
              <w:tblBorders>
                <w:top w:val="single" w:sz="4" w:space="0" w:color="414141"/>
                <w:left w:val="single" w:sz="4" w:space="0" w:color="414141"/>
                <w:bottom w:val="single" w:sz="4" w:space="0" w:color="414141"/>
                <w:right w:val="single" w:sz="4" w:space="0" w:color="414141"/>
                <w:insideH w:val="single" w:sz="4" w:space="0" w:color="414141"/>
                <w:insideV w:val="single" w:sz="4" w:space="0" w:color="414141"/>
              </w:tblBorders>
              <w:tblLayout w:type="fixed"/>
              <w:tblLook w:val="04A0" w:firstRow="1" w:lastRow="0" w:firstColumn="1" w:lastColumn="0" w:noHBand="0" w:noVBand="1"/>
            </w:tblPr>
            <w:tblGrid>
              <w:gridCol w:w="9002"/>
            </w:tblGrid>
            <w:tr w:rsidR="00993685" w14:paraId="5003EDC4" w14:textId="77777777" w:rsidTr="00BB7936">
              <w:trPr>
                <w:trHeight w:val="300"/>
              </w:trPr>
              <w:tc>
                <w:tcPr>
                  <w:tcW w:w="8630" w:type="dxa"/>
                  <w:tcBorders>
                    <w:top w:val="single" w:sz="4" w:space="0" w:color="414141"/>
                    <w:left w:val="single" w:sz="4" w:space="0" w:color="414141"/>
                    <w:bottom w:val="single" w:sz="4" w:space="0" w:color="414141"/>
                    <w:right w:val="single" w:sz="4" w:space="0" w:color="414141"/>
                  </w:tcBorders>
                  <w:hideMark/>
                </w:tcPr>
                <w:p w14:paraId="4B4C7A7D" w14:textId="77777777" w:rsidR="00993685" w:rsidRDefault="00993685" w:rsidP="00993685">
                  <w:pPr>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IV.</w:t>
                  </w:r>
                  <w:r>
                    <w:rPr>
                      <w:rFonts w:ascii="Times New Roman" w:eastAsia="Times New Roman" w:hAnsi="Times New Roman" w:cs="Times New Roman"/>
                      <w:b/>
                      <w:bCs/>
                      <w:sz w:val="24"/>
                      <w:szCs w:val="24"/>
                      <w:lang w:eastAsia="lv-LV"/>
                    </w:rPr>
                    <w:t> </w:t>
                  </w:r>
                  <w:r>
                    <w:rPr>
                      <w:rFonts w:ascii="Times New Roman" w:eastAsia="Times New Roman" w:hAnsi="Times New Roman" w:cs="Times New Roman"/>
                      <w:b/>
                      <w:bCs/>
                      <w:iCs/>
                      <w:sz w:val="24"/>
                      <w:szCs w:val="24"/>
                      <w:lang w:eastAsia="lv-LV"/>
                    </w:rPr>
                    <w:t>Tiesību akta projekta ietekme uz spēkā esošo tiesību normu sistēmu</w:t>
                  </w:r>
                </w:p>
              </w:tc>
            </w:tr>
            <w:tr w:rsidR="00993685" w14:paraId="4D4D5A9C" w14:textId="77777777" w:rsidTr="00BB7936">
              <w:tc>
                <w:tcPr>
                  <w:tcW w:w="8630" w:type="dxa"/>
                  <w:tcBorders>
                    <w:top w:val="single" w:sz="4" w:space="0" w:color="414141"/>
                    <w:left w:val="single" w:sz="4" w:space="0" w:color="414141"/>
                    <w:bottom w:val="single" w:sz="4" w:space="0" w:color="414141"/>
                    <w:right w:val="single" w:sz="4" w:space="0" w:color="414141"/>
                  </w:tcBorders>
                  <w:hideMark/>
                </w:tcPr>
                <w:p w14:paraId="41C568AC" w14:textId="1AE780CB" w:rsidR="00993685" w:rsidRDefault="00993685" w:rsidP="00993685">
                  <w:pPr>
                    <w:jc w:val="center"/>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Cs/>
                      <w:sz w:val="24"/>
                      <w:szCs w:val="24"/>
                      <w:lang w:eastAsia="lv-LV"/>
                    </w:rPr>
                    <w:t>Noteikumu projekts</w:t>
                  </w:r>
                  <w:r w:rsidRPr="003735E8">
                    <w:rPr>
                      <w:rFonts w:ascii="Times New Roman" w:eastAsia="Times New Roman" w:hAnsi="Times New Roman" w:cs="Times New Roman"/>
                      <w:bCs/>
                      <w:sz w:val="24"/>
                      <w:szCs w:val="24"/>
                      <w:lang w:eastAsia="lv-LV"/>
                    </w:rPr>
                    <w:t xml:space="preserve"> šo jomu neskar.</w:t>
                  </w:r>
                </w:p>
              </w:tc>
            </w:tr>
          </w:tbl>
          <w:p w14:paraId="3F6BCFB9" w14:textId="260CC4A0" w:rsidR="00993685" w:rsidRDefault="00993685" w:rsidP="00993685">
            <w:pPr>
              <w:spacing w:after="0" w:line="240" w:lineRule="auto"/>
              <w:rPr>
                <w:rFonts w:ascii="Times New Roman" w:eastAsia="Times New Roman" w:hAnsi="Times New Roman" w:cs="Times New Roman"/>
                <w:sz w:val="24"/>
                <w:szCs w:val="24"/>
                <w:lang w:eastAsia="lv-LV"/>
              </w:rPr>
            </w:pPr>
          </w:p>
          <w:p w14:paraId="1C6085FC" w14:textId="77777777" w:rsidR="00993685" w:rsidRPr="003735E8" w:rsidRDefault="00993685" w:rsidP="00993685">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996"/>
            </w:tblGrid>
            <w:tr w:rsidR="007F5F3A" w:rsidRPr="003735E8" w14:paraId="1A463EE3" w14:textId="77777777" w:rsidTr="007F5F3A">
              <w:trPr>
                <w:trHeight w:val="236"/>
              </w:trPr>
              <w:tc>
                <w:tcPr>
                  <w:tcW w:w="5000" w:type="pct"/>
                  <w:tcBorders>
                    <w:top w:val="outset" w:sz="6" w:space="0" w:color="414142"/>
                    <w:left w:val="outset" w:sz="6" w:space="0" w:color="414142"/>
                  </w:tcBorders>
                  <w:vAlign w:val="center"/>
                  <w:hideMark/>
                </w:tcPr>
                <w:p w14:paraId="0E5CD439" w14:textId="77777777" w:rsidR="007F5F3A" w:rsidRPr="003735E8" w:rsidRDefault="007F5F3A" w:rsidP="00993685">
                  <w:pPr>
                    <w:spacing w:after="0" w:line="240" w:lineRule="auto"/>
                    <w:ind w:firstLine="300"/>
                    <w:jc w:val="center"/>
                    <w:rPr>
                      <w:rFonts w:ascii="Times New Roman" w:eastAsia="Times New Roman" w:hAnsi="Times New Roman" w:cs="Times New Roman"/>
                      <w:b/>
                      <w:bCs/>
                      <w:sz w:val="24"/>
                      <w:szCs w:val="24"/>
                      <w:lang w:eastAsia="lv-LV"/>
                    </w:rPr>
                  </w:pPr>
                  <w:r w:rsidRPr="003735E8">
                    <w:rPr>
                      <w:rFonts w:ascii="Times New Roman" w:eastAsia="Times New Roman" w:hAnsi="Times New Roman" w:cs="Times New Roman"/>
                      <w:b/>
                      <w:bCs/>
                      <w:sz w:val="24"/>
                      <w:szCs w:val="24"/>
                      <w:lang w:eastAsia="lv-LV"/>
                    </w:rPr>
                    <w:t>V. Tiesību akta projekta atbilstība Latvijas Republikas starptautiskajām saistībām</w:t>
                  </w:r>
                </w:p>
              </w:tc>
            </w:tr>
          </w:tbl>
          <w:p w14:paraId="6CE07598" w14:textId="77777777" w:rsidR="00993685" w:rsidRPr="003735E8" w:rsidRDefault="00993685" w:rsidP="00993685">
            <w:pPr>
              <w:spacing w:after="0" w:line="240" w:lineRule="auto"/>
              <w:rPr>
                <w:rFonts w:ascii="Times New Roman" w:eastAsiaTheme="minorEastAsia" w:hAnsi="Times New Roman" w:cs="Times New Roman"/>
                <w:sz w:val="24"/>
                <w:szCs w:val="24"/>
                <w:lang w:eastAsia="lv-LV"/>
              </w:rPr>
            </w:pPr>
          </w:p>
        </w:tc>
      </w:tr>
      <w:tr w:rsidR="007F5F3A" w:rsidRPr="007F5F3A" w14:paraId="583317FA"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Before w:val="1"/>
          <w:gridAfter w:val="1"/>
          <w:wBefore w:w="8" w:type="dxa"/>
          <w:wAfter w:w="10" w:type="dxa"/>
          <w:trHeight w:val="540"/>
        </w:trPr>
        <w:tc>
          <w:tcPr>
            <w:tcW w:w="452" w:type="dxa"/>
            <w:gridSpan w:val="2"/>
            <w:tcBorders>
              <w:top w:val="outset" w:sz="6" w:space="0" w:color="414142"/>
              <w:left w:val="outset" w:sz="6" w:space="0" w:color="414142"/>
              <w:bottom w:val="outset" w:sz="6" w:space="0" w:color="414142"/>
              <w:right w:val="outset" w:sz="6" w:space="0" w:color="414142"/>
            </w:tcBorders>
            <w:hideMark/>
          </w:tcPr>
          <w:p w14:paraId="49174DC6"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1.</w:t>
            </w:r>
          </w:p>
        </w:tc>
        <w:tc>
          <w:tcPr>
            <w:tcW w:w="2515" w:type="dxa"/>
            <w:gridSpan w:val="4"/>
            <w:tcBorders>
              <w:top w:val="outset" w:sz="6" w:space="0" w:color="414142"/>
              <w:left w:val="outset" w:sz="6" w:space="0" w:color="414142"/>
              <w:bottom w:val="outset" w:sz="6" w:space="0" w:color="414142"/>
              <w:right w:val="outset" w:sz="6" w:space="0" w:color="414142"/>
            </w:tcBorders>
            <w:hideMark/>
          </w:tcPr>
          <w:p w14:paraId="1E0F8763"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Plānotās sabiedrības līdzdalības un komunikācijas aktivitātes saistībā ar projektu</w:t>
            </w:r>
          </w:p>
        </w:tc>
        <w:tc>
          <w:tcPr>
            <w:tcW w:w="6087" w:type="dxa"/>
            <w:gridSpan w:val="8"/>
            <w:tcBorders>
              <w:top w:val="outset" w:sz="6" w:space="0" w:color="414142"/>
              <w:left w:val="outset" w:sz="6" w:space="0" w:color="414142"/>
              <w:bottom w:val="outset" w:sz="6" w:space="0" w:color="414142"/>
              <w:right w:val="outset" w:sz="6" w:space="0" w:color="414142"/>
            </w:tcBorders>
            <w:hideMark/>
          </w:tcPr>
          <w:p w14:paraId="54C9AE5D" w14:textId="77777777" w:rsidR="007F5F3A" w:rsidRPr="007F5F3A" w:rsidRDefault="007F5F3A" w:rsidP="00380C8C">
            <w:pPr>
              <w:spacing w:after="0" w:line="240" w:lineRule="auto"/>
              <w:jc w:val="both"/>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Lai informētu sabiedrību par noteikumu projektu un dotu iespēju izteikt viedokli, noteikumu 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7F5F3A" w:rsidRPr="007F5F3A" w14:paraId="5501CB3F"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Before w:val="1"/>
          <w:gridAfter w:val="1"/>
          <w:wBefore w:w="8" w:type="dxa"/>
          <w:wAfter w:w="10" w:type="dxa"/>
          <w:trHeight w:val="330"/>
        </w:trPr>
        <w:tc>
          <w:tcPr>
            <w:tcW w:w="452" w:type="dxa"/>
            <w:gridSpan w:val="2"/>
            <w:tcBorders>
              <w:top w:val="outset" w:sz="6" w:space="0" w:color="414142"/>
              <w:left w:val="outset" w:sz="6" w:space="0" w:color="414142"/>
              <w:bottom w:val="outset" w:sz="6" w:space="0" w:color="414142"/>
              <w:right w:val="outset" w:sz="6" w:space="0" w:color="414142"/>
            </w:tcBorders>
            <w:hideMark/>
          </w:tcPr>
          <w:p w14:paraId="3B2BA4C4"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2.</w:t>
            </w:r>
          </w:p>
        </w:tc>
        <w:tc>
          <w:tcPr>
            <w:tcW w:w="2515" w:type="dxa"/>
            <w:gridSpan w:val="4"/>
            <w:tcBorders>
              <w:top w:val="outset" w:sz="6" w:space="0" w:color="414142"/>
              <w:left w:val="outset" w:sz="6" w:space="0" w:color="414142"/>
              <w:bottom w:val="outset" w:sz="6" w:space="0" w:color="414142"/>
              <w:right w:val="outset" w:sz="6" w:space="0" w:color="414142"/>
            </w:tcBorders>
            <w:hideMark/>
          </w:tcPr>
          <w:p w14:paraId="145CCFF8"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Sabiedrības līdzdalība projekta izstrādē</w:t>
            </w:r>
          </w:p>
        </w:tc>
        <w:tc>
          <w:tcPr>
            <w:tcW w:w="6087" w:type="dxa"/>
            <w:gridSpan w:val="8"/>
            <w:tcBorders>
              <w:top w:val="outset" w:sz="6" w:space="0" w:color="414142"/>
              <w:left w:val="outset" w:sz="6" w:space="0" w:color="414142"/>
              <w:bottom w:val="outset" w:sz="6" w:space="0" w:color="414142"/>
              <w:right w:val="outset" w:sz="6" w:space="0" w:color="414142"/>
            </w:tcBorders>
            <w:hideMark/>
          </w:tcPr>
          <w:p w14:paraId="47A30BA0" w14:textId="2DAE60C8" w:rsidR="007F5F3A" w:rsidRPr="007F5F3A" w:rsidRDefault="007F5F3A" w:rsidP="00380C8C">
            <w:pPr>
              <w:spacing w:after="0" w:line="240" w:lineRule="auto"/>
              <w:jc w:val="both"/>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 xml:space="preserve">Tieslietu ministrija 2021. gada </w:t>
            </w:r>
            <w:r w:rsidR="00C96B0D">
              <w:rPr>
                <w:rFonts w:ascii="Times New Roman" w:eastAsia="Times New Roman" w:hAnsi="Times New Roman" w:cs="Times New Roman"/>
                <w:sz w:val="24"/>
                <w:szCs w:val="24"/>
                <w:lang w:eastAsia="lv-LV"/>
              </w:rPr>
              <w:t>9</w:t>
            </w:r>
            <w:r w:rsidRPr="007F5F3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maijā</w:t>
            </w:r>
            <w:r w:rsidRPr="007F5F3A">
              <w:rPr>
                <w:rFonts w:ascii="Times New Roman" w:eastAsia="Times New Roman" w:hAnsi="Times New Roman" w:cs="Times New Roman"/>
                <w:sz w:val="24"/>
                <w:szCs w:val="24"/>
                <w:lang w:eastAsia="lv-LV"/>
              </w:rPr>
              <w:t xml:space="preserve"> noteikumu projektu ievietoja savā tīmekļvietnē sadaļā "Sabiedrības līdzdalība" (pieejams: https://www.tm.gov.lv/lv/sabiedribas-lidzdaliba/diskusiju-dokumenti/tiesibu-akti), kā arī noteikumu projekts tika ievietots Valsts kancelejas tīmekļvietnē sadaļā "Ministru kabineta diskusiju dokumenti" (pieejams: https://mk.gov.lv/content/ministru-kabineta-diskusiju-dokumenti), tādējādi dodot iespēju sabiedrībai līdzdarboties tiesību akta izstrādes procesā. Sabiedrībai bija iespēja līdz 2021. gada </w:t>
            </w:r>
            <w:r>
              <w:rPr>
                <w:rFonts w:ascii="Times New Roman" w:eastAsia="Times New Roman" w:hAnsi="Times New Roman" w:cs="Times New Roman"/>
                <w:sz w:val="24"/>
                <w:szCs w:val="24"/>
                <w:lang w:eastAsia="lv-LV"/>
              </w:rPr>
              <w:t>1</w:t>
            </w:r>
            <w:r w:rsidR="00C96B0D">
              <w:rPr>
                <w:rFonts w:ascii="Times New Roman" w:eastAsia="Times New Roman" w:hAnsi="Times New Roman" w:cs="Times New Roman"/>
                <w:sz w:val="24"/>
                <w:szCs w:val="24"/>
                <w:lang w:eastAsia="lv-LV"/>
              </w:rPr>
              <w:t>3</w:t>
            </w:r>
            <w:r w:rsidRPr="007F5F3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maijam</w:t>
            </w:r>
            <w:r w:rsidRPr="007F5F3A">
              <w:rPr>
                <w:rFonts w:ascii="Times New Roman" w:eastAsia="Times New Roman" w:hAnsi="Times New Roman" w:cs="Times New Roman"/>
                <w:sz w:val="24"/>
                <w:szCs w:val="24"/>
                <w:lang w:eastAsia="lv-LV"/>
              </w:rPr>
              <w:t xml:space="preserve"> sniegt rakstisku viedokli Tieslietu ministrijai par izstrādāto noteikumu projektu.</w:t>
            </w:r>
          </w:p>
        </w:tc>
      </w:tr>
      <w:tr w:rsidR="007F5F3A" w:rsidRPr="007F5F3A" w14:paraId="1A5C4459"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Before w:val="1"/>
          <w:gridAfter w:val="1"/>
          <w:wBefore w:w="8" w:type="dxa"/>
          <w:wAfter w:w="10" w:type="dxa"/>
          <w:trHeight w:val="465"/>
        </w:trPr>
        <w:tc>
          <w:tcPr>
            <w:tcW w:w="452" w:type="dxa"/>
            <w:gridSpan w:val="2"/>
            <w:tcBorders>
              <w:top w:val="outset" w:sz="6" w:space="0" w:color="414142"/>
              <w:left w:val="outset" w:sz="6" w:space="0" w:color="414142"/>
              <w:bottom w:val="outset" w:sz="6" w:space="0" w:color="414142"/>
              <w:right w:val="outset" w:sz="6" w:space="0" w:color="414142"/>
            </w:tcBorders>
            <w:hideMark/>
          </w:tcPr>
          <w:p w14:paraId="40DF0CB9"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lastRenderedPageBreak/>
              <w:t>3.</w:t>
            </w:r>
          </w:p>
        </w:tc>
        <w:tc>
          <w:tcPr>
            <w:tcW w:w="2515" w:type="dxa"/>
            <w:gridSpan w:val="4"/>
            <w:tcBorders>
              <w:top w:val="outset" w:sz="6" w:space="0" w:color="414142"/>
              <w:left w:val="outset" w:sz="6" w:space="0" w:color="414142"/>
              <w:bottom w:val="outset" w:sz="6" w:space="0" w:color="414142"/>
              <w:right w:val="outset" w:sz="6" w:space="0" w:color="414142"/>
            </w:tcBorders>
            <w:hideMark/>
          </w:tcPr>
          <w:p w14:paraId="47F7F112"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Sabiedrības līdzdalības rezultāti</w:t>
            </w:r>
          </w:p>
        </w:tc>
        <w:tc>
          <w:tcPr>
            <w:tcW w:w="6087" w:type="dxa"/>
            <w:gridSpan w:val="8"/>
            <w:tcBorders>
              <w:top w:val="outset" w:sz="6" w:space="0" w:color="414142"/>
              <w:left w:val="outset" w:sz="6" w:space="0" w:color="414142"/>
              <w:bottom w:val="outset" w:sz="6" w:space="0" w:color="414142"/>
              <w:right w:val="outset" w:sz="6" w:space="0" w:color="414142"/>
            </w:tcBorders>
          </w:tcPr>
          <w:p w14:paraId="0DE80D8B" w14:textId="77777777" w:rsidR="007F5F3A" w:rsidRPr="007F5F3A" w:rsidRDefault="007F5F3A" w:rsidP="00380C8C">
            <w:pPr>
              <w:spacing w:after="0" w:line="240" w:lineRule="auto"/>
              <w:jc w:val="both"/>
              <w:rPr>
                <w:rFonts w:ascii="Times New Roman" w:eastAsia="Times New Roman" w:hAnsi="Times New Roman" w:cs="Times New Roman"/>
                <w:sz w:val="24"/>
                <w:szCs w:val="24"/>
                <w:lang w:eastAsia="lv-LV"/>
              </w:rPr>
            </w:pPr>
            <w:r w:rsidRPr="007F5F3A">
              <w:rPr>
                <w:rFonts w:ascii="Times New Roman" w:eastAsia="Times New Roman" w:hAnsi="Times New Roman" w:cs="Times New Roman"/>
                <w:bCs/>
                <w:sz w:val="24"/>
                <w:szCs w:val="24"/>
                <w:lang w:eastAsia="lv-LV"/>
              </w:rPr>
              <w:t>Noteikumu projekts šo jomu neskar.</w:t>
            </w:r>
          </w:p>
        </w:tc>
      </w:tr>
      <w:tr w:rsidR="007F5F3A" w:rsidRPr="007F5F3A" w14:paraId="61AF6496" w14:textId="77777777" w:rsidTr="007F5F3A">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Before w:val="1"/>
          <w:gridAfter w:val="1"/>
          <w:wBefore w:w="8" w:type="dxa"/>
          <w:wAfter w:w="10" w:type="dxa"/>
          <w:trHeight w:val="465"/>
        </w:trPr>
        <w:tc>
          <w:tcPr>
            <w:tcW w:w="452" w:type="dxa"/>
            <w:gridSpan w:val="2"/>
            <w:tcBorders>
              <w:top w:val="outset" w:sz="6" w:space="0" w:color="414142"/>
              <w:left w:val="outset" w:sz="6" w:space="0" w:color="414142"/>
              <w:bottom w:val="outset" w:sz="6" w:space="0" w:color="414142"/>
              <w:right w:val="outset" w:sz="6" w:space="0" w:color="414142"/>
            </w:tcBorders>
            <w:hideMark/>
          </w:tcPr>
          <w:p w14:paraId="60B6BC4F"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4.</w:t>
            </w:r>
          </w:p>
        </w:tc>
        <w:tc>
          <w:tcPr>
            <w:tcW w:w="2515" w:type="dxa"/>
            <w:gridSpan w:val="4"/>
            <w:tcBorders>
              <w:top w:val="outset" w:sz="6" w:space="0" w:color="414142"/>
              <w:left w:val="outset" w:sz="6" w:space="0" w:color="414142"/>
              <w:bottom w:val="outset" w:sz="6" w:space="0" w:color="414142"/>
              <w:right w:val="outset" w:sz="6" w:space="0" w:color="414142"/>
            </w:tcBorders>
            <w:hideMark/>
          </w:tcPr>
          <w:p w14:paraId="5D630275" w14:textId="77777777" w:rsidR="007F5F3A" w:rsidRPr="007F5F3A" w:rsidRDefault="007F5F3A" w:rsidP="00380C8C">
            <w:pPr>
              <w:spacing w:after="0" w:line="240" w:lineRule="auto"/>
              <w:rPr>
                <w:rFonts w:ascii="Times New Roman" w:eastAsia="Times New Roman" w:hAnsi="Times New Roman" w:cs="Times New Roman"/>
                <w:sz w:val="24"/>
                <w:szCs w:val="24"/>
                <w:lang w:eastAsia="lv-LV"/>
              </w:rPr>
            </w:pPr>
            <w:r w:rsidRPr="007F5F3A">
              <w:rPr>
                <w:rFonts w:ascii="Times New Roman" w:eastAsia="Times New Roman" w:hAnsi="Times New Roman" w:cs="Times New Roman"/>
                <w:sz w:val="24"/>
                <w:szCs w:val="24"/>
                <w:lang w:eastAsia="lv-LV"/>
              </w:rPr>
              <w:t>Cita informācija</w:t>
            </w:r>
          </w:p>
        </w:tc>
        <w:tc>
          <w:tcPr>
            <w:tcW w:w="6087" w:type="dxa"/>
            <w:gridSpan w:val="8"/>
            <w:tcBorders>
              <w:top w:val="outset" w:sz="6" w:space="0" w:color="414142"/>
              <w:left w:val="outset" w:sz="6" w:space="0" w:color="414142"/>
              <w:bottom w:val="outset" w:sz="6" w:space="0" w:color="414142"/>
              <w:right w:val="outset" w:sz="6" w:space="0" w:color="414142"/>
            </w:tcBorders>
            <w:hideMark/>
          </w:tcPr>
          <w:p w14:paraId="3A622197" w14:textId="77777777" w:rsidR="007F5F3A" w:rsidRPr="007F5F3A" w:rsidRDefault="007F5F3A" w:rsidP="00380C8C">
            <w:pPr>
              <w:spacing w:after="0" w:line="240" w:lineRule="auto"/>
              <w:jc w:val="both"/>
              <w:rPr>
                <w:rFonts w:ascii="Times New Roman" w:eastAsia="Times New Roman" w:hAnsi="Times New Roman" w:cs="Times New Roman"/>
                <w:sz w:val="24"/>
                <w:szCs w:val="24"/>
                <w:lang w:eastAsia="lv-LV"/>
              </w:rPr>
            </w:pPr>
            <w:r w:rsidRPr="007F5F3A">
              <w:rPr>
                <w:rFonts w:ascii="Times New Roman" w:eastAsia="Calibri" w:hAnsi="Times New Roman" w:cs="Times New Roman"/>
                <w:sz w:val="24"/>
                <w:szCs w:val="24"/>
                <w:lang w:eastAsia="lv-LV"/>
              </w:rPr>
              <w:t xml:space="preserve">Ministru kabineta noteikumus pēc to pieņemšanas Ministru kabinetā izsludina, publicējot </w:t>
            </w:r>
            <w:r w:rsidRPr="007F5F3A">
              <w:rPr>
                <w:rFonts w:ascii="Times New Roman" w:eastAsia="Calibri" w:hAnsi="Times New Roman" w:cs="Times New Roman"/>
                <w:sz w:val="24"/>
                <w:szCs w:val="24"/>
              </w:rPr>
              <w:t>oficiālajā izdevumā "Latvijas Vēstnesis" (</w:t>
            </w:r>
            <w:hyperlink r:id="rId8" w:history="1">
              <w:r w:rsidRPr="007F5F3A">
                <w:rPr>
                  <w:rStyle w:val="Hipersaite"/>
                  <w:rFonts w:ascii="Times New Roman" w:eastAsia="Calibri" w:hAnsi="Times New Roman" w:cs="Times New Roman"/>
                  <w:sz w:val="24"/>
                  <w:szCs w:val="24"/>
                </w:rPr>
                <w:t>www.vestnesis.lv</w:t>
              </w:r>
            </w:hyperlink>
            <w:r w:rsidRPr="007F5F3A">
              <w:rPr>
                <w:rFonts w:ascii="Times New Roman" w:eastAsia="Calibri" w:hAnsi="Times New Roman" w:cs="Times New Roman"/>
                <w:sz w:val="24"/>
                <w:szCs w:val="24"/>
              </w:rPr>
              <w:t>), kā arī tie ir pieejami sistematizēti vortālā Likumi.lv (</w:t>
            </w:r>
            <w:hyperlink r:id="rId9" w:history="1">
              <w:r w:rsidRPr="007F5F3A">
                <w:rPr>
                  <w:rStyle w:val="Hipersaite"/>
                  <w:rFonts w:ascii="Times New Roman" w:eastAsia="Calibri" w:hAnsi="Times New Roman" w:cs="Times New Roman"/>
                  <w:sz w:val="24"/>
                  <w:szCs w:val="24"/>
                </w:rPr>
                <w:t>www.likumi.lv</w:t>
              </w:r>
            </w:hyperlink>
            <w:r w:rsidRPr="007F5F3A">
              <w:rPr>
                <w:rFonts w:ascii="Times New Roman" w:eastAsia="Calibri" w:hAnsi="Times New Roman" w:cs="Times New Roman"/>
                <w:sz w:val="24"/>
                <w:szCs w:val="24"/>
              </w:rPr>
              <w:t>).</w:t>
            </w:r>
          </w:p>
        </w:tc>
      </w:tr>
    </w:tbl>
    <w:p w14:paraId="1A08BA03" w14:textId="208718DD" w:rsidR="006F11FF" w:rsidRPr="007F5F3A" w:rsidRDefault="006F11FF" w:rsidP="003735E8">
      <w:pPr>
        <w:spacing w:after="0" w:line="240" w:lineRule="auto"/>
        <w:rPr>
          <w:rFonts w:ascii="Times New Roman" w:eastAsia="Times New Roman" w:hAnsi="Times New Roman" w:cs="Times New Roman"/>
          <w:sz w:val="24"/>
          <w:szCs w:val="24"/>
          <w:lang w:eastAsia="lv-LV"/>
        </w:rPr>
      </w:pPr>
    </w:p>
    <w:p w14:paraId="79D1AACD" w14:textId="77777777" w:rsidR="007F5F3A" w:rsidRDefault="007F5F3A" w:rsidP="003735E8">
      <w:pPr>
        <w:spacing w:after="0" w:line="240" w:lineRule="auto"/>
        <w:rPr>
          <w:rFonts w:ascii="Times New Roman" w:eastAsia="Times New Roman" w:hAnsi="Times New Roman" w:cs="Times New Roman"/>
          <w:sz w:val="24"/>
          <w:szCs w:val="24"/>
          <w:lang w:eastAsia="lv-LV"/>
        </w:rPr>
      </w:pPr>
    </w:p>
    <w:tbl>
      <w:tblPr>
        <w:tblStyle w:val="Reatabulagaia"/>
        <w:tblW w:w="5000" w:type="pct"/>
        <w:tblInd w:w="0" w:type="dxa"/>
        <w:tblBorders>
          <w:top w:val="single" w:sz="4" w:space="0" w:color="414141"/>
          <w:left w:val="single" w:sz="4" w:space="0" w:color="414141"/>
          <w:bottom w:val="single" w:sz="4" w:space="0" w:color="414141"/>
          <w:right w:val="single" w:sz="4" w:space="0" w:color="414141"/>
          <w:insideH w:val="single" w:sz="4" w:space="0" w:color="414141"/>
          <w:insideV w:val="single" w:sz="4" w:space="0" w:color="414141"/>
        </w:tblBorders>
        <w:tblLook w:val="04A0" w:firstRow="1" w:lastRow="0" w:firstColumn="1" w:lastColumn="0" w:noHBand="0" w:noVBand="1"/>
      </w:tblPr>
      <w:tblGrid>
        <w:gridCol w:w="3278"/>
        <w:gridCol w:w="5783"/>
      </w:tblGrid>
      <w:tr w:rsidR="009708E1" w14:paraId="18E2EE2F" w14:textId="77777777" w:rsidTr="009708E1">
        <w:tc>
          <w:tcPr>
            <w:tcW w:w="0" w:type="auto"/>
            <w:gridSpan w:val="2"/>
            <w:tcBorders>
              <w:top w:val="single" w:sz="4" w:space="0" w:color="414141"/>
              <w:left w:val="single" w:sz="4" w:space="0" w:color="414141"/>
              <w:bottom w:val="single" w:sz="4" w:space="0" w:color="414141"/>
              <w:right w:val="single" w:sz="4" w:space="0" w:color="414141"/>
            </w:tcBorders>
            <w:hideMark/>
          </w:tcPr>
          <w:p w14:paraId="68F4F835" w14:textId="77777777" w:rsidR="009708E1" w:rsidRDefault="009708E1">
            <w:pPr>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VII.</w:t>
            </w:r>
            <w:r>
              <w:rPr>
                <w:rFonts w:ascii="Times New Roman" w:eastAsia="Times New Roman" w:hAnsi="Times New Roman" w:cs="Times New Roman"/>
                <w:b/>
                <w:bCs/>
                <w:sz w:val="24"/>
                <w:szCs w:val="24"/>
                <w:lang w:eastAsia="lv-LV"/>
              </w:rPr>
              <w:t> </w:t>
            </w:r>
            <w:r>
              <w:rPr>
                <w:rFonts w:ascii="Times New Roman" w:eastAsia="Times New Roman" w:hAnsi="Times New Roman" w:cs="Times New Roman"/>
                <w:b/>
                <w:bCs/>
                <w:iCs/>
                <w:sz w:val="24"/>
                <w:szCs w:val="24"/>
                <w:lang w:eastAsia="lv-LV"/>
              </w:rPr>
              <w:t>Tiesību akta projekta izpildes nodrošināšana un tās ietekme uz institūcijām</w:t>
            </w:r>
          </w:p>
        </w:tc>
      </w:tr>
      <w:tr w:rsidR="009708E1" w14:paraId="48ECC914" w14:textId="77777777" w:rsidTr="009708E1">
        <w:tc>
          <w:tcPr>
            <w:tcW w:w="1700" w:type="pct"/>
            <w:tcBorders>
              <w:top w:val="single" w:sz="4" w:space="0" w:color="414141"/>
              <w:left w:val="single" w:sz="4" w:space="0" w:color="414141"/>
              <w:bottom w:val="single" w:sz="4" w:space="0" w:color="414141"/>
              <w:right w:val="single" w:sz="4" w:space="0" w:color="414141"/>
            </w:tcBorders>
            <w:hideMark/>
          </w:tcPr>
          <w:p w14:paraId="54D84E40" w14:textId="77777777" w:rsidR="009708E1" w:rsidRDefault="009708E1">
            <w:pP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izpildē iesaistītās institūcijas</w:t>
            </w:r>
          </w:p>
        </w:tc>
        <w:tc>
          <w:tcPr>
            <w:tcW w:w="3000" w:type="pct"/>
            <w:tcBorders>
              <w:top w:val="single" w:sz="4" w:space="0" w:color="414141"/>
              <w:left w:val="single" w:sz="4" w:space="0" w:color="414141"/>
              <w:bottom w:val="single" w:sz="4" w:space="0" w:color="414141"/>
              <w:right w:val="single" w:sz="4" w:space="0" w:color="414141"/>
            </w:tcBorders>
            <w:hideMark/>
          </w:tcPr>
          <w:p w14:paraId="093ECA8A" w14:textId="01627B3F" w:rsidR="009708E1" w:rsidRDefault="009708E1">
            <w:pPr>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Ģenerālprokuratūra.</w:t>
            </w:r>
          </w:p>
        </w:tc>
      </w:tr>
      <w:tr w:rsidR="009708E1" w14:paraId="7564B098" w14:textId="77777777" w:rsidTr="009708E1">
        <w:tc>
          <w:tcPr>
            <w:tcW w:w="1700" w:type="pct"/>
            <w:tcBorders>
              <w:top w:val="single" w:sz="4" w:space="0" w:color="414141"/>
              <w:left w:val="single" w:sz="4" w:space="0" w:color="414141"/>
              <w:bottom w:val="single" w:sz="4" w:space="0" w:color="414141"/>
              <w:right w:val="single" w:sz="4" w:space="0" w:color="414141"/>
            </w:tcBorders>
            <w:hideMark/>
          </w:tcPr>
          <w:p w14:paraId="3EEADFE7" w14:textId="77777777" w:rsidR="009708E1" w:rsidRDefault="009708E1">
            <w:pP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izpildes ietekme uz pārvaldes funkcijām un institucionālo struktūru.</w:t>
            </w:r>
            <w:r>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single" w:sz="4" w:space="0" w:color="414141"/>
              <w:left w:val="single" w:sz="4" w:space="0" w:color="414141"/>
              <w:bottom w:val="single" w:sz="4" w:space="0" w:color="414141"/>
              <w:right w:val="single" w:sz="4" w:space="0" w:color="414141"/>
            </w:tcBorders>
          </w:tcPr>
          <w:p w14:paraId="31B12EFF" w14:textId="77777777" w:rsidR="009708E1" w:rsidRDefault="009708E1" w:rsidP="009708E1">
            <w:pPr>
              <w:jc w:val="both"/>
              <w:rPr>
                <w:rFonts w:ascii="Times New Roman" w:eastAsia="Times New Roman" w:hAnsi="Times New Roman" w:cs="Times New Roman"/>
                <w:iCs/>
                <w:color w:val="A6A6A6" w:themeColor="background1" w:themeShade="A6"/>
                <w:sz w:val="24"/>
                <w:szCs w:val="24"/>
                <w:lang w:eastAsia="lv-LV"/>
              </w:rPr>
            </w:pPr>
          </w:p>
        </w:tc>
      </w:tr>
      <w:tr w:rsidR="009708E1" w14:paraId="67BCB084" w14:textId="77777777" w:rsidTr="009708E1">
        <w:tc>
          <w:tcPr>
            <w:tcW w:w="1700" w:type="pct"/>
            <w:tcBorders>
              <w:top w:val="single" w:sz="4" w:space="0" w:color="414141"/>
              <w:left w:val="single" w:sz="4" w:space="0" w:color="414141"/>
              <w:bottom w:val="single" w:sz="4" w:space="0" w:color="414141"/>
              <w:right w:val="single" w:sz="4" w:space="0" w:color="414141"/>
            </w:tcBorders>
            <w:hideMark/>
          </w:tcPr>
          <w:p w14:paraId="32D7ADC2" w14:textId="77777777" w:rsidR="009708E1" w:rsidRDefault="009708E1">
            <w:pP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Cita informācija</w:t>
            </w:r>
          </w:p>
        </w:tc>
        <w:tc>
          <w:tcPr>
            <w:tcW w:w="3000" w:type="pct"/>
            <w:tcBorders>
              <w:top w:val="single" w:sz="4" w:space="0" w:color="414141"/>
              <w:left w:val="single" w:sz="4" w:space="0" w:color="414141"/>
              <w:bottom w:val="single" w:sz="4" w:space="0" w:color="414141"/>
              <w:right w:val="single" w:sz="4" w:space="0" w:color="414141"/>
            </w:tcBorders>
            <w:hideMark/>
          </w:tcPr>
          <w:p w14:paraId="1731ACBE" w14:textId="77777777" w:rsidR="009708E1" w:rsidRDefault="009708E1">
            <w:pPr>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w:t>
            </w:r>
          </w:p>
        </w:tc>
      </w:tr>
    </w:tbl>
    <w:p w14:paraId="208CAB29" w14:textId="77777777" w:rsidR="003735E8" w:rsidRPr="001A3C73" w:rsidRDefault="003735E8" w:rsidP="003735E8">
      <w:pPr>
        <w:spacing w:after="0" w:line="240" w:lineRule="auto"/>
        <w:rPr>
          <w:rFonts w:ascii="Times New Roman" w:eastAsia="Times New Roman" w:hAnsi="Times New Roman" w:cs="Times New Roman"/>
          <w:iCs/>
          <w:sz w:val="24"/>
          <w:szCs w:val="24"/>
          <w:lang w:eastAsia="lv-LV"/>
        </w:rPr>
      </w:pPr>
    </w:p>
    <w:p w14:paraId="1B457776" w14:textId="77777777" w:rsidR="00F07126" w:rsidRDefault="00F07126" w:rsidP="00F07126">
      <w:pPr>
        <w:spacing w:after="0" w:line="240" w:lineRule="auto"/>
        <w:jc w:val="both"/>
        <w:rPr>
          <w:rFonts w:ascii="Times New Roman" w:eastAsia="Times New Roman" w:hAnsi="Times New Roman" w:cs="Times New Roman"/>
          <w:sz w:val="24"/>
          <w:szCs w:val="24"/>
        </w:rPr>
      </w:pPr>
    </w:p>
    <w:p w14:paraId="7F33BFFD" w14:textId="333BE178" w:rsidR="00F07126" w:rsidRPr="00F07126" w:rsidRDefault="00F07126" w:rsidP="00F07126">
      <w:pPr>
        <w:spacing w:after="0" w:line="240" w:lineRule="auto"/>
        <w:jc w:val="both"/>
        <w:rPr>
          <w:rFonts w:ascii="Times New Roman" w:eastAsia="Times New Roman" w:hAnsi="Times New Roman" w:cs="Times New Roman"/>
          <w:sz w:val="24"/>
          <w:szCs w:val="24"/>
        </w:rPr>
      </w:pPr>
      <w:r w:rsidRPr="00F07126">
        <w:rPr>
          <w:rFonts w:ascii="Times New Roman" w:eastAsia="Times New Roman" w:hAnsi="Times New Roman" w:cs="Times New Roman"/>
          <w:sz w:val="24"/>
          <w:szCs w:val="24"/>
        </w:rPr>
        <w:t>Iesniedzējs:</w:t>
      </w:r>
    </w:p>
    <w:p w14:paraId="62E4EC7D" w14:textId="77777777" w:rsidR="00C96B0D" w:rsidRDefault="00C96B0D" w:rsidP="00C96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Ministru prezidenta biedrs, </w:t>
      </w:r>
    </w:p>
    <w:p w14:paraId="035170E9" w14:textId="77777777" w:rsidR="00C96B0D" w:rsidRDefault="00C96B0D" w:rsidP="00C96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 Bordāns</w:t>
      </w:r>
    </w:p>
    <w:p w14:paraId="66655AC8" w14:textId="77777777" w:rsidR="00C96B0D" w:rsidRDefault="00C96B0D" w:rsidP="00C96B0D">
      <w:pPr>
        <w:spacing w:after="0" w:line="240" w:lineRule="auto"/>
        <w:ind w:firstLine="720"/>
        <w:rPr>
          <w:rFonts w:ascii="Times New Roman" w:hAnsi="Times New Roman" w:cs="Times New Roman"/>
          <w:sz w:val="28"/>
          <w:szCs w:val="28"/>
        </w:rPr>
      </w:pPr>
    </w:p>
    <w:p w14:paraId="59589714" w14:textId="77777777" w:rsidR="00C96B0D" w:rsidRDefault="00C96B0D" w:rsidP="00C96B0D">
      <w:pPr>
        <w:spacing w:after="0" w:line="240" w:lineRule="auto"/>
        <w:ind w:firstLine="720"/>
        <w:rPr>
          <w:rFonts w:ascii="Times New Roman" w:hAnsi="Times New Roman" w:cs="Times New Roman"/>
          <w:sz w:val="28"/>
          <w:szCs w:val="28"/>
        </w:rPr>
      </w:pPr>
    </w:p>
    <w:p w14:paraId="4F8F0F59" w14:textId="77777777" w:rsidR="003735E8" w:rsidRPr="00F07126" w:rsidRDefault="003735E8" w:rsidP="003735E8">
      <w:pPr>
        <w:tabs>
          <w:tab w:val="right" w:pos="9071"/>
        </w:tabs>
        <w:spacing w:after="0" w:line="240" w:lineRule="auto"/>
        <w:jc w:val="both"/>
        <w:rPr>
          <w:rFonts w:ascii="Times New Roman" w:eastAsia="Times New Roman" w:hAnsi="Times New Roman" w:cs="Times New Roman"/>
          <w:sz w:val="24"/>
          <w:szCs w:val="24"/>
        </w:rPr>
      </w:pPr>
    </w:p>
    <w:p w14:paraId="370F9315" w14:textId="77777777" w:rsidR="00D73415" w:rsidRPr="00D73415" w:rsidRDefault="00D73415" w:rsidP="00D73415">
      <w:pPr>
        <w:spacing w:after="0" w:line="240" w:lineRule="auto"/>
        <w:jc w:val="both"/>
        <w:rPr>
          <w:rFonts w:ascii="Times New Roman" w:eastAsia="Times New Roman" w:hAnsi="Times New Roman" w:cs="Times New Roman"/>
          <w:sz w:val="24"/>
          <w:szCs w:val="24"/>
        </w:rPr>
      </w:pPr>
    </w:p>
    <w:p w14:paraId="6B8A6F4F" w14:textId="77777777" w:rsidR="00D73415" w:rsidRPr="00D73415" w:rsidRDefault="00D73415" w:rsidP="00D73415">
      <w:pPr>
        <w:spacing w:after="0" w:line="240" w:lineRule="auto"/>
        <w:rPr>
          <w:rFonts w:ascii="Times New Roman" w:eastAsia="Times New Roman" w:hAnsi="Times New Roman" w:cs="Times New Roman"/>
          <w:sz w:val="20"/>
          <w:szCs w:val="20"/>
          <w:lang w:eastAsia="lv-LV"/>
        </w:rPr>
      </w:pPr>
      <w:bookmarkStart w:id="0" w:name="_Hlk25137908"/>
      <w:r w:rsidRPr="00D73415">
        <w:rPr>
          <w:rFonts w:ascii="Times New Roman" w:eastAsia="Times New Roman" w:hAnsi="Times New Roman" w:cs="Times New Roman"/>
          <w:sz w:val="20"/>
          <w:szCs w:val="20"/>
          <w:lang w:eastAsia="lv-LV"/>
        </w:rPr>
        <w:t>Bajāre-Grīnberga 67036789</w:t>
      </w:r>
    </w:p>
    <w:p w14:paraId="38DD0C02" w14:textId="77777777" w:rsidR="00D73415" w:rsidRPr="00D73415" w:rsidRDefault="00D73415" w:rsidP="00D73415">
      <w:pPr>
        <w:spacing w:after="0" w:line="240" w:lineRule="auto"/>
        <w:rPr>
          <w:rFonts w:ascii="Times New Roman" w:eastAsia="Times New Roman" w:hAnsi="Times New Roman" w:cs="Times New Roman"/>
          <w:sz w:val="24"/>
          <w:szCs w:val="24"/>
          <w:lang w:eastAsia="lv-LV"/>
        </w:rPr>
      </w:pPr>
      <w:r w:rsidRPr="00D73415">
        <w:rPr>
          <w:rFonts w:ascii="Times New Roman" w:eastAsia="Times New Roman" w:hAnsi="Times New Roman" w:cs="Times New Roman"/>
          <w:color w:val="0000FF"/>
          <w:sz w:val="20"/>
          <w:szCs w:val="20"/>
          <w:u w:val="single"/>
          <w:lang w:eastAsia="lv-LV"/>
        </w:rPr>
        <w:t>Kintija.Bajare-Grinberga@tm.gov.lv</w:t>
      </w:r>
      <w:bookmarkEnd w:id="0"/>
    </w:p>
    <w:p w14:paraId="7E263B18" w14:textId="6006F410" w:rsidR="00CA1AE4" w:rsidRDefault="00CA1AE4" w:rsidP="00B412ED">
      <w:pPr>
        <w:spacing w:after="0" w:line="240" w:lineRule="auto"/>
      </w:pPr>
    </w:p>
    <w:sectPr w:rsidR="00CA1AE4" w:rsidSect="00B412ED">
      <w:headerReference w:type="default" r:id="rId10"/>
      <w:footerReference w:type="default" r:id="rId11"/>
      <w:footerReference w:type="first" r:id="rId12"/>
      <w:pgSz w:w="11906" w:h="16838"/>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9CE6" w14:textId="77777777" w:rsidR="00D162EB" w:rsidRDefault="00D162EB" w:rsidP="003735E8">
      <w:pPr>
        <w:spacing w:after="0" w:line="240" w:lineRule="auto"/>
      </w:pPr>
      <w:r>
        <w:separator/>
      </w:r>
    </w:p>
  </w:endnote>
  <w:endnote w:type="continuationSeparator" w:id="0">
    <w:p w14:paraId="72CA23B7" w14:textId="77777777" w:rsidR="00D162EB" w:rsidRDefault="00D162EB" w:rsidP="0037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AA25" w14:textId="3D5AC3E0" w:rsidR="004471ED" w:rsidRPr="000026B4" w:rsidRDefault="000026B4" w:rsidP="000026B4">
    <w:pPr>
      <w:spacing w:after="0" w:line="240" w:lineRule="auto"/>
      <w:contextualSpacing/>
      <w:jc w:val="both"/>
      <w:rPr>
        <w:rFonts w:ascii="Times New Roman" w:hAnsi="Times New Roman" w:cs="Times New Roman"/>
        <w:color w:val="000000" w:themeColor="text1"/>
        <w:sz w:val="20"/>
        <w:szCs w:val="20"/>
      </w:rPr>
    </w:pPr>
    <w:r w:rsidRPr="000026B4">
      <w:rPr>
        <w:rFonts w:ascii="Times New Roman" w:hAnsi="Times New Roman" w:cs="Times New Roman"/>
        <w:sz w:val="20"/>
        <w:szCs w:val="20"/>
      </w:rPr>
      <w:t>TM</w:t>
    </w:r>
    <w:r w:rsidR="00B54CB8">
      <w:rPr>
        <w:rFonts w:ascii="Times New Roman" w:hAnsi="Times New Roman" w:cs="Times New Roman"/>
        <w:sz w:val="20"/>
        <w:szCs w:val="20"/>
      </w:rPr>
      <w:t>A</w:t>
    </w:r>
    <w:r w:rsidRPr="000026B4">
      <w:rPr>
        <w:rFonts w:ascii="Times New Roman" w:hAnsi="Times New Roman" w:cs="Times New Roman"/>
        <w:sz w:val="20"/>
        <w:szCs w:val="20"/>
      </w:rPr>
      <w:t>not_</w:t>
    </w:r>
    <w:r w:rsidR="00DE148B">
      <w:rPr>
        <w:rFonts w:ascii="Times New Roman" w:hAnsi="Times New Roman" w:cs="Times New Roman"/>
        <w:sz w:val="20"/>
        <w:szCs w:val="20"/>
      </w:rPr>
      <w:t>0</w:t>
    </w:r>
    <w:r w:rsidR="00C96B0D">
      <w:rPr>
        <w:rFonts w:ascii="Times New Roman" w:hAnsi="Times New Roman" w:cs="Times New Roman"/>
        <w:sz w:val="20"/>
        <w:szCs w:val="20"/>
      </w:rPr>
      <w:t>7</w:t>
    </w:r>
    <w:r w:rsidR="00DE148B">
      <w:rPr>
        <w:rFonts w:ascii="Times New Roman" w:hAnsi="Times New Roman" w:cs="Times New Roman"/>
        <w:sz w:val="20"/>
        <w:szCs w:val="20"/>
      </w:rPr>
      <w:t>0521</w:t>
    </w:r>
    <w:r w:rsidRPr="000026B4">
      <w:rPr>
        <w:rFonts w:ascii="Times New Roman" w:hAnsi="Times New Roman" w:cs="Times New Roman"/>
        <w:sz w:val="20"/>
        <w:szCs w:val="20"/>
      </w:rPr>
      <w:t>_</w:t>
    </w:r>
    <w:r w:rsidR="00366D19">
      <w:rPr>
        <w:rFonts w:ascii="Times New Roman" w:hAnsi="Times New Roman" w:cs="Times New Roman"/>
        <w:sz w:val="20"/>
        <w:szCs w:val="20"/>
      </w:rPr>
      <w:t>amatu</w:t>
    </w:r>
    <w:r w:rsidR="00B54CB8" w:rsidRPr="000026B4">
      <w:rPr>
        <w:rFonts w:ascii="Times New Roman" w:hAnsi="Times New Roman" w:cs="Times New Roman"/>
        <w:sz w:val="20"/>
        <w:szCs w:val="20"/>
      </w:rPr>
      <w:t>kat</w:t>
    </w:r>
    <w:r w:rsidR="00366D19">
      <w:rPr>
        <w:rFonts w:ascii="Times New Roman" w:hAnsi="Times New Roman" w:cs="Times New Roman"/>
        <w:sz w:val="20"/>
        <w:szCs w:val="20"/>
      </w:rPr>
      <w:t>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603E" w14:textId="0A10E987" w:rsidR="004471ED" w:rsidRPr="002E0FDE" w:rsidRDefault="00B54CB8" w:rsidP="00B412ED">
    <w:pPr>
      <w:rPr>
        <w:rFonts w:ascii="Times New Roman" w:hAnsi="Times New Roman" w:cs="Times New Roman"/>
        <w:sz w:val="20"/>
        <w:szCs w:val="20"/>
      </w:rPr>
    </w:pPr>
    <w:r w:rsidRPr="000026B4">
      <w:rPr>
        <w:rFonts w:ascii="Times New Roman" w:hAnsi="Times New Roman" w:cs="Times New Roman"/>
        <w:sz w:val="20"/>
        <w:szCs w:val="20"/>
      </w:rPr>
      <w:t>TM</w:t>
    </w:r>
    <w:r>
      <w:rPr>
        <w:rFonts w:ascii="Times New Roman" w:hAnsi="Times New Roman" w:cs="Times New Roman"/>
        <w:sz w:val="20"/>
        <w:szCs w:val="20"/>
      </w:rPr>
      <w:t>A</w:t>
    </w:r>
    <w:r w:rsidRPr="000026B4">
      <w:rPr>
        <w:rFonts w:ascii="Times New Roman" w:hAnsi="Times New Roman" w:cs="Times New Roman"/>
        <w:sz w:val="20"/>
        <w:szCs w:val="20"/>
      </w:rPr>
      <w:t>not_</w:t>
    </w:r>
    <w:r w:rsidR="00DE148B">
      <w:rPr>
        <w:rFonts w:ascii="Times New Roman" w:hAnsi="Times New Roman" w:cs="Times New Roman"/>
        <w:sz w:val="20"/>
        <w:szCs w:val="20"/>
      </w:rPr>
      <w:t>0</w:t>
    </w:r>
    <w:r w:rsidR="00C96B0D">
      <w:rPr>
        <w:rFonts w:ascii="Times New Roman" w:hAnsi="Times New Roman" w:cs="Times New Roman"/>
        <w:sz w:val="20"/>
        <w:szCs w:val="20"/>
      </w:rPr>
      <w:t>7</w:t>
    </w:r>
    <w:r w:rsidR="00DE148B">
      <w:rPr>
        <w:rFonts w:ascii="Times New Roman" w:hAnsi="Times New Roman" w:cs="Times New Roman"/>
        <w:sz w:val="20"/>
        <w:szCs w:val="20"/>
      </w:rPr>
      <w:t>0521</w:t>
    </w:r>
    <w:r w:rsidRPr="000026B4">
      <w:rPr>
        <w:rFonts w:ascii="Times New Roman" w:hAnsi="Times New Roman" w:cs="Times New Roman"/>
        <w:sz w:val="20"/>
        <w:szCs w:val="20"/>
      </w:rPr>
      <w:t>_</w:t>
    </w:r>
    <w:r w:rsidR="00F06923">
      <w:rPr>
        <w:rFonts w:ascii="Times New Roman" w:hAnsi="Times New Roman" w:cs="Times New Roman"/>
        <w:sz w:val="20"/>
        <w:szCs w:val="20"/>
      </w:rPr>
      <w:t>amatu</w:t>
    </w:r>
    <w:r w:rsidRPr="000026B4">
      <w:rPr>
        <w:rFonts w:ascii="Times New Roman" w:hAnsi="Times New Roman" w:cs="Times New Roman"/>
        <w:sz w:val="20"/>
        <w:szCs w:val="20"/>
      </w:rPr>
      <w:t>kata</w:t>
    </w:r>
    <w:r>
      <w:rPr>
        <w:rFonts w:ascii="Times New Roman" w:hAnsi="Times New Roman" w:cs="Times New Roman"/>
        <w:sz w:val="20"/>
        <w:szCs w:val="20"/>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C5AD" w14:textId="77777777" w:rsidR="00D162EB" w:rsidRDefault="00D162EB" w:rsidP="003735E8">
      <w:pPr>
        <w:spacing w:after="0" w:line="240" w:lineRule="auto"/>
      </w:pPr>
      <w:r>
        <w:separator/>
      </w:r>
    </w:p>
  </w:footnote>
  <w:footnote w:type="continuationSeparator" w:id="0">
    <w:p w14:paraId="49E898B6" w14:textId="77777777" w:rsidR="00D162EB" w:rsidRDefault="00D162EB" w:rsidP="0037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54283"/>
      <w:docPartObj>
        <w:docPartGallery w:val="Page Numbers (Top of Page)"/>
        <w:docPartUnique/>
      </w:docPartObj>
    </w:sdtPr>
    <w:sdtEndPr/>
    <w:sdtContent>
      <w:p w14:paraId="71E216C6" w14:textId="77777777" w:rsidR="004471ED" w:rsidRDefault="00BA3828">
        <w:pPr>
          <w:pStyle w:val="Galvene"/>
          <w:jc w:val="center"/>
        </w:pPr>
        <w:r>
          <w:fldChar w:fldCharType="begin"/>
        </w:r>
        <w:r>
          <w:instrText>PAGE   \* MERGEFORMAT</w:instrText>
        </w:r>
        <w:r>
          <w:fldChar w:fldCharType="separate"/>
        </w:r>
        <w:r>
          <w:t>2</w:t>
        </w:r>
        <w:r>
          <w:fldChar w:fldCharType="end"/>
        </w:r>
      </w:p>
    </w:sdtContent>
  </w:sdt>
  <w:p w14:paraId="0990A185" w14:textId="77777777" w:rsidR="004471ED" w:rsidRDefault="00C96B0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5077"/>
    <w:multiLevelType w:val="hybridMultilevel"/>
    <w:tmpl w:val="12800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E8"/>
    <w:rsid w:val="000026B4"/>
    <w:rsid w:val="00084672"/>
    <w:rsid w:val="0008645B"/>
    <w:rsid w:val="000A013B"/>
    <w:rsid w:val="000A3F6A"/>
    <w:rsid w:val="000A40FB"/>
    <w:rsid w:val="000D443E"/>
    <w:rsid w:val="000E0B69"/>
    <w:rsid w:val="00135E01"/>
    <w:rsid w:val="001870CA"/>
    <w:rsid w:val="001879B7"/>
    <w:rsid w:val="001A3C73"/>
    <w:rsid w:val="001A7830"/>
    <w:rsid w:val="00220310"/>
    <w:rsid w:val="00230457"/>
    <w:rsid w:val="00241FE4"/>
    <w:rsid w:val="00255D2B"/>
    <w:rsid w:val="002B29F1"/>
    <w:rsid w:val="002B56C9"/>
    <w:rsid w:val="0030197A"/>
    <w:rsid w:val="00310B0F"/>
    <w:rsid w:val="003223D0"/>
    <w:rsid w:val="00343D61"/>
    <w:rsid w:val="00351A85"/>
    <w:rsid w:val="00366D19"/>
    <w:rsid w:val="003735E8"/>
    <w:rsid w:val="003E4C21"/>
    <w:rsid w:val="003F2394"/>
    <w:rsid w:val="003F2D65"/>
    <w:rsid w:val="00435531"/>
    <w:rsid w:val="00494E0F"/>
    <w:rsid w:val="004956A7"/>
    <w:rsid w:val="004B0634"/>
    <w:rsid w:val="004C07AA"/>
    <w:rsid w:val="00535612"/>
    <w:rsid w:val="00601646"/>
    <w:rsid w:val="006047E8"/>
    <w:rsid w:val="00606961"/>
    <w:rsid w:val="00677605"/>
    <w:rsid w:val="006A66C1"/>
    <w:rsid w:val="006C60E3"/>
    <w:rsid w:val="006F11FF"/>
    <w:rsid w:val="00724801"/>
    <w:rsid w:val="007C2174"/>
    <w:rsid w:val="007C614E"/>
    <w:rsid w:val="007F5F3A"/>
    <w:rsid w:val="00806F22"/>
    <w:rsid w:val="00825A9E"/>
    <w:rsid w:val="00873BCA"/>
    <w:rsid w:val="008B46B6"/>
    <w:rsid w:val="00901C6C"/>
    <w:rsid w:val="00901E56"/>
    <w:rsid w:val="009032BC"/>
    <w:rsid w:val="009641FF"/>
    <w:rsid w:val="009708E1"/>
    <w:rsid w:val="00993685"/>
    <w:rsid w:val="009A2652"/>
    <w:rsid w:val="009D17C6"/>
    <w:rsid w:val="00A12801"/>
    <w:rsid w:val="00A15298"/>
    <w:rsid w:val="00A179FD"/>
    <w:rsid w:val="00A22F98"/>
    <w:rsid w:val="00A93DF7"/>
    <w:rsid w:val="00AB0BB1"/>
    <w:rsid w:val="00B07C30"/>
    <w:rsid w:val="00B33E7F"/>
    <w:rsid w:val="00B412ED"/>
    <w:rsid w:val="00B54887"/>
    <w:rsid w:val="00B54CB8"/>
    <w:rsid w:val="00BA3828"/>
    <w:rsid w:val="00BB5ED1"/>
    <w:rsid w:val="00BB7936"/>
    <w:rsid w:val="00BC2DDF"/>
    <w:rsid w:val="00BD06A6"/>
    <w:rsid w:val="00BD45E3"/>
    <w:rsid w:val="00C04D45"/>
    <w:rsid w:val="00C23EC6"/>
    <w:rsid w:val="00C53C43"/>
    <w:rsid w:val="00C60A42"/>
    <w:rsid w:val="00C96B0D"/>
    <w:rsid w:val="00CA1AE4"/>
    <w:rsid w:val="00D15DAB"/>
    <w:rsid w:val="00D162EB"/>
    <w:rsid w:val="00D25841"/>
    <w:rsid w:val="00D73415"/>
    <w:rsid w:val="00DE148B"/>
    <w:rsid w:val="00DF1D87"/>
    <w:rsid w:val="00DF1FBD"/>
    <w:rsid w:val="00E14B8E"/>
    <w:rsid w:val="00E2753C"/>
    <w:rsid w:val="00E4045D"/>
    <w:rsid w:val="00E55402"/>
    <w:rsid w:val="00E84061"/>
    <w:rsid w:val="00EA781A"/>
    <w:rsid w:val="00EE45BE"/>
    <w:rsid w:val="00F0298A"/>
    <w:rsid w:val="00F06923"/>
    <w:rsid w:val="00F07126"/>
    <w:rsid w:val="00F217DC"/>
    <w:rsid w:val="00F9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55FC"/>
  <w15:chartTrackingRefBased/>
  <w15:docId w15:val="{504D82B6-DE17-43AD-A11D-6E71BEBC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26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735E8"/>
    <w:pPr>
      <w:tabs>
        <w:tab w:val="center" w:pos="4153"/>
        <w:tab w:val="right" w:pos="8306"/>
      </w:tabs>
      <w:spacing w:after="0" w:line="240" w:lineRule="auto"/>
    </w:pPr>
    <w:rPr>
      <w:rFonts w:eastAsiaTheme="minorEastAsia"/>
      <w:lang w:eastAsia="lv-LV"/>
    </w:rPr>
  </w:style>
  <w:style w:type="character" w:customStyle="1" w:styleId="GalveneRakstz">
    <w:name w:val="Galvene Rakstz."/>
    <w:basedOn w:val="Noklusjumarindkopasfonts"/>
    <w:link w:val="Galvene"/>
    <w:uiPriority w:val="99"/>
    <w:rsid w:val="003735E8"/>
    <w:rPr>
      <w:rFonts w:eastAsiaTheme="minorEastAsia"/>
      <w:lang w:eastAsia="lv-LV"/>
    </w:rPr>
  </w:style>
  <w:style w:type="paragraph" w:styleId="Kjene">
    <w:name w:val="footer"/>
    <w:basedOn w:val="Parasts"/>
    <w:link w:val="KjeneRakstz"/>
    <w:uiPriority w:val="99"/>
    <w:unhideWhenUsed/>
    <w:rsid w:val="003735E8"/>
    <w:pPr>
      <w:tabs>
        <w:tab w:val="center" w:pos="4153"/>
        <w:tab w:val="right" w:pos="8306"/>
      </w:tabs>
      <w:spacing w:after="0" w:line="240" w:lineRule="auto"/>
    </w:pPr>
    <w:rPr>
      <w:rFonts w:eastAsiaTheme="minorEastAsia"/>
      <w:lang w:eastAsia="lv-LV"/>
    </w:rPr>
  </w:style>
  <w:style w:type="character" w:customStyle="1" w:styleId="KjeneRakstz">
    <w:name w:val="Kājene Rakstz."/>
    <w:basedOn w:val="Noklusjumarindkopasfonts"/>
    <w:link w:val="Kjene"/>
    <w:uiPriority w:val="99"/>
    <w:rsid w:val="003735E8"/>
    <w:rPr>
      <w:rFonts w:eastAsiaTheme="minorEastAsia"/>
      <w:lang w:eastAsia="lv-LV"/>
    </w:rPr>
  </w:style>
  <w:style w:type="paragraph" w:styleId="Komentrateksts">
    <w:name w:val="annotation text"/>
    <w:basedOn w:val="Parasts"/>
    <w:link w:val="KomentratekstsRakstz"/>
    <w:uiPriority w:val="99"/>
    <w:semiHidden/>
    <w:unhideWhenUsed/>
    <w:rsid w:val="003735E8"/>
    <w:pPr>
      <w:spacing w:after="0" w:line="240" w:lineRule="auto"/>
    </w:pPr>
    <w:rPr>
      <w:rFonts w:ascii="Times New Roman" w:eastAsia="Calibri"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3735E8"/>
    <w:rPr>
      <w:rFonts w:ascii="Times New Roman" w:eastAsia="Calibri" w:hAnsi="Times New Roman" w:cs="Times New Roman"/>
      <w:sz w:val="20"/>
      <w:szCs w:val="20"/>
    </w:rPr>
  </w:style>
  <w:style w:type="character" w:styleId="Komentraatsauce">
    <w:name w:val="annotation reference"/>
    <w:basedOn w:val="Noklusjumarindkopasfonts"/>
    <w:uiPriority w:val="99"/>
    <w:semiHidden/>
    <w:unhideWhenUsed/>
    <w:rsid w:val="003735E8"/>
    <w:rPr>
      <w:sz w:val="16"/>
      <w:szCs w:val="16"/>
    </w:rPr>
  </w:style>
  <w:style w:type="paragraph" w:styleId="Balonteksts">
    <w:name w:val="Balloon Text"/>
    <w:basedOn w:val="Parasts"/>
    <w:link w:val="BalontekstsRakstz"/>
    <w:uiPriority w:val="99"/>
    <w:semiHidden/>
    <w:unhideWhenUsed/>
    <w:rsid w:val="003735E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35E8"/>
    <w:rPr>
      <w:rFonts w:ascii="Segoe UI" w:hAnsi="Segoe UI" w:cs="Segoe UI"/>
      <w:sz w:val="18"/>
      <w:szCs w:val="18"/>
    </w:rPr>
  </w:style>
  <w:style w:type="paragraph" w:styleId="Sarakstarindkopa">
    <w:name w:val="List Paragraph"/>
    <w:basedOn w:val="Parasts"/>
    <w:uiPriority w:val="34"/>
    <w:qFormat/>
    <w:rsid w:val="00EE45BE"/>
    <w:pPr>
      <w:spacing w:after="0" w:line="240" w:lineRule="auto"/>
      <w:ind w:left="720"/>
      <w:contextualSpacing/>
    </w:pPr>
    <w:rPr>
      <w:rFonts w:ascii="Times New Roman" w:eastAsia="Calibri" w:hAnsi="Times New Roman" w:cs="Times New Roman"/>
      <w:sz w:val="24"/>
    </w:rPr>
  </w:style>
  <w:style w:type="paragraph" w:styleId="Komentratma">
    <w:name w:val="annotation subject"/>
    <w:basedOn w:val="Komentrateksts"/>
    <w:next w:val="Komentrateksts"/>
    <w:link w:val="KomentratmaRakstz"/>
    <w:uiPriority w:val="99"/>
    <w:semiHidden/>
    <w:unhideWhenUsed/>
    <w:rsid w:val="00B54CB8"/>
    <w:pPr>
      <w:spacing w:after="16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B54CB8"/>
    <w:rPr>
      <w:rFonts w:ascii="Times New Roman" w:eastAsia="Calibri" w:hAnsi="Times New Roman" w:cs="Times New Roman"/>
      <w:b/>
      <w:bCs/>
      <w:sz w:val="20"/>
      <w:szCs w:val="20"/>
    </w:rPr>
  </w:style>
  <w:style w:type="table" w:styleId="Reatabulagaia">
    <w:name w:val="Grid Table Light"/>
    <w:basedOn w:val="Parastatabula"/>
    <w:uiPriority w:val="40"/>
    <w:rsid w:val="00BB793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saite">
    <w:name w:val="Hyperlink"/>
    <w:basedOn w:val="Noklusjumarindkopasfonts"/>
    <w:uiPriority w:val="99"/>
    <w:unhideWhenUsed/>
    <w:rsid w:val="007F5F3A"/>
    <w:rPr>
      <w:color w:val="0563C1" w:themeColor="hyperlink"/>
      <w:u w:val="single"/>
    </w:rPr>
  </w:style>
  <w:style w:type="paragraph" w:customStyle="1" w:styleId="StyleRight">
    <w:name w:val="Style Right"/>
    <w:basedOn w:val="Parasts"/>
    <w:rsid w:val="00C96B0D"/>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0954">
      <w:bodyDiv w:val="1"/>
      <w:marLeft w:val="0"/>
      <w:marRight w:val="0"/>
      <w:marTop w:val="0"/>
      <w:marBottom w:val="0"/>
      <w:divBdr>
        <w:top w:val="none" w:sz="0" w:space="0" w:color="auto"/>
        <w:left w:val="none" w:sz="0" w:space="0" w:color="auto"/>
        <w:bottom w:val="none" w:sz="0" w:space="0" w:color="auto"/>
        <w:right w:val="none" w:sz="0" w:space="0" w:color="auto"/>
      </w:divBdr>
    </w:div>
    <w:div w:id="311101573">
      <w:bodyDiv w:val="1"/>
      <w:marLeft w:val="0"/>
      <w:marRight w:val="0"/>
      <w:marTop w:val="0"/>
      <w:marBottom w:val="0"/>
      <w:divBdr>
        <w:top w:val="none" w:sz="0" w:space="0" w:color="auto"/>
        <w:left w:val="none" w:sz="0" w:space="0" w:color="auto"/>
        <w:bottom w:val="none" w:sz="0" w:space="0" w:color="auto"/>
        <w:right w:val="none" w:sz="0" w:space="0" w:color="auto"/>
      </w:divBdr>
    </w:div>
    <w:div w:id="589898766">
      <w:bodyDiv w:val="1"/>
      <w:marLeft w:val="0"/>
      <w:marRight w:val="0"/>
      <w:marTop w:val="0"/>
      <w:marBottom w:val="0"/>
      <w:divBdr>
        <w:top w:val="none" w:sz="0" w:space="0" w:color="auto"/>
        <w:left w:val="none" w:sz="0" w:space="0" w:color="auto"/>
        <w:bottom w:val="none" w:sz="0" w:space="0" w:color="auto"/>
        <w:right w:val="none" w:sz="0" w:space="0" w:color="auto"/>
      </w:divBdr>
    </w:div>
    <w:div w:id="627080471">
      <w:bodyDiv w:val="1"/>
      <w:marLeft w:val="0"/>
      <w:marRight w:val="0"/>
      <w:marTop w:val="0"/>
      <w:marBottom w:val="0"/>
      <w:divBdr>
        <w:top w:val="none" w:sz="0" w:space="0" w:color="auto"/>
        <w:left w:val="none" w:sz="0" w:space="0" w:color="auto"/>
        <w:bottom w:val="none" w:sz="0" w:space="0" w:color="auto"/>
        <w:right w:val="none" w:sz="0" w:space="0" w:color="auto"/>
      </w:divBdr>
    </w:div>
    <w:div w:id="667096554">
      <w:bodyDiv w:val="1"/>
      <w:marLeft w:val="0"/>
      <w:marRight w:val="0"/>
      <w:marTop w:val="0"/>
      <w:marBottom w:val="0"/>
      <w:divBdr>
        <w:top w:val="none" w:sz="0" w:space="0" w:color="auto"/>
        <w:left w:val="none" w:sz="0" w:space="0" w:color="auto"/>
        <w:bottom w:val="none" w:sz="0" w:space="0" w:color="auto"/>
        <w:right w:val="none" w:sz="0" w:space="0" w:color="auto"/>
      </w:divBdr>
    </w:div>
    <w:div w:id="689188492">
      <w:bodyDiv w:val="1"/>
      <w:marLeft w:val="0"/>
      <w:marRight w:val="0"/>
      <w:marTop w:val="0"/>
      <w:marBottom w:val="0"/>
      <w:divBdr>
        <w:top w:val="none" w:sz="0" w:space="0" w:color="auto"/>
        <w:left w:val="none" w:sz="0" w:space="0" w:color="auto"/>
        <w:bottom w:val="none" w:sz="0" w:space="0" w:color="auto"/>
        <w:right w:val="none" w:sz="0" w:space="0" w:color="auto"/>
      </w:divBdr>
    </w:div>
    <w:div w:id="698047099">
      <w:bodyDiv w:val="1"/>
      <w:marLeft w:val="0"/>
      <w:marRight w:val="0"/>
      <w:marTop w:val="0"/>
      <w:marBottom w:val="0"/>
      <w:divBdr>
        <w:top w:val="none" w:sz="0" w:space="0" w:color="auto"/>
        <w:left w:val="none" w:sz="0" w:space="0" w:color="auto"/>
        <w:bottom w:val="none" w:sz="0" w:space="0" w:color="auto"/>
        <w:right w:val="none" w:sz="0" w:space="0" w:color="auto"/>
      </w:divBdr>
    </w:div>
    <w:div w:id="1069154605">
      <w:bodyDiv w:val="1"/>
      <w:marLeft w:val="0"/>
      <w:marRight w:val="0"/>
      <w:marTop w:val="0"/>
      <w:marBottom w:val="0"/>
      <w:divBdr>
        <w:top w:val="none" w:sz="0" w:space="0" w:color="auto"/>
        <w:left w:val="none" w:sz="0" w:space="0" w:color="auto"/>
        <w:bottom w:val="none" w:sz="0" w:space="0" w:color="auto"/>
        <w:right w:val="none" w:sz="0" w:space="0" w:color="auto"/>
      </w:divBdr>
    </w:div>
    <w:div w:id="1382485861">
      <w:bodyDiv w:val="1"/>
      <w:marLeft w:val="0"/>
      <w:marRight w:val="0"/>
      <w:marTop w:val="0"/>
      <w:marBottom w:val="0"/>
      <w:divBdr>
        <w:top w:val="none" w:sz="0" w:space="0" w:color="auto"/>
        <w:left w:val="none" w:sz="0" w:space="0" w:color="auto"/>
        <w:bottom w:val="none" w:sz="0" w:space="0" w:color="auto"/>
        <w:right w:val="none" w:sz="0" w:space="0" w:color="auto"/>
      </w:divBdr>
    </w:div>
    <w:div w:id="1382706598">
      <w:bodyDiv w:val="1"/>
      <w:marLeft w:val="0"/>
      <w:marRight w:val="0"/>
      <w:marTop w:val="0"/>
      <w:marBottom w:val="0"/>
      <w:divBdr>
        <w:top w:val="none" w:sz="0" w:space="0" w:color="auto"/>
        <w:left w:val="none" w:sz="0" w:space="0" w:color="auto"/>
        <w:bottom w:val="none" w:sz="0" w:space="0" w:color="auto"/>
        <w:right w:val="none" w:sz="0" w:space="0" w:color="auto"/>
      </w:divBdr>
    </w:div>
    <w:div w:id="1407457457">
      <w:bodyDiv w:val="1"/>
      <w:marLeft w:val="0"/>
      <w:marRight w:val="0"/>
      <w:marTop w:val="0"/>
      <w:marBottom w:val="0"/>
      <w:divBdr>
        <w:top w:val="none" w:sz="0" w:space="0" w:color="auto"/>
        <w:left w:val="none" w:sz="0" w:space="0" w:color="auto"/>
        <w:bottom w:val="none" w:sz="0" w:space="0" w:color="auto"/>
        <w:right w:val="none" w:sz="0" w:space="0" w:color="auto"/>
      </w:divBdr>
    </w:div>
    <w:div w:id="1419404996">
      <w:bodyDiv w:val="1"/>
      <w:marLeft w:val="0"/>
      <w:marRight w:val="0"/>
      <w:marTop w:val="0"/>
      <w:marBottom w:val="0"/>
      <w:divBdr>
        <w:top w:val="none" w:sz="0" w:space="0" w:color="auto"/>
        <w:left w:val="none" w:sz="0" w:space="0" w:color="auto"/>
        <w:bottom w:val="none" w:sz="0" w:space="0" w:color="auto"/>
        <w:right w:val="none" w:sz="0" w:space="0" w:color="auto"/>
      </w:divBdr>
    </w:div>
    <w:div w:id="1613901499">
      <w:bodyDiv w:val="1"/>
      <w:marLeft w:val="0"/>
      <w:marRight w:val="0"/>
      <w:marTop w:val="0"/>
      <w:marBottom w:val="0"/>
      <w:divBdr>
        <w:top w:val="none" w:sz="0" w:space="0" w:color="auto"/>
        <w:left w:val="none" w:sz="0" w:space="0" w:color="auto"/>
        <w:bottom w:val="none" w:sz="0" w:space="0" w:color="auto"/>
        <w:right w:val="none" w:sz="0" w:space="0" w:color="auto"/>
      </w:divBdr>
    </w:div>
    <w:div w:id="2081249813">
      <w:bodyDiv w:val="1"/>
      <w:marLeft w:val="0"/>
      <w:marRight w:val="0"/>
      <w:marTop w:val="0"/>
      <w:marBottom w:val="0"/>
      <w:divBdr>
        <w:top w:val="none" w:sz="0" w:space="0" w:color="auto"/>
        <w:left w:val="none" w:sz="0" w:space="0" w:color="auto"/>
        <w:bottom w:val="none" w:sz="0" w:space="0" w:color="auto"/>
        <w:right w:val="none" w:sz="0" w:space="0" w:color="auto"/>
      </w:divBdr>
    </w:div>
    <w:div w:id="20864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D3EB-CA6F-43BD-8A10-F74620AC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5450</Words>
  <Characters>3108</Characters>
  <Application>Microsoft Office Word</Application>
  <DocSecurity>4</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"Grozījumi Ministru kabineta 2010. gada 30. novembra noteikumos Nr. 1075 "Valsts un pašvaldību institūciju amatu katalogs"" sākotnējās ietekmes novērtējuma ziņojums (anotācija)</vt:lpstr>
      <vt:lpstr>Ministru kabineta noteikumu projekts "Grozījumi Ministru kabineta 2010. gada 30. novembra noteikumos Nr. 1075 "Valsts un pašvaldību institūciju amatu katalogs"" sākotnējās ietekmes novērtējuma ziņojums (anotācija)</vt:lpstr>
    </vt:vector>
  </TitlesOfParts>
  <Company>Tieslietu ministrija</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2010. gada 30. novembra noteikumos Nr. 1075 "Valsts un pašvaldību institūciju amatu katalogs"" sākotnējās ietekmes novērtējuma ziņojums (anotācija)</dc:title>
  <dc:subject>Anotācija</dc:subject>
  <dc:creator>Kintija Bajāre-Grīnberga</dc:creator>
  <cp:keywords/>
  <dc:description>67036789, Kintija.Bajare-Grinberga@tm.gov.lv</dc:description>
  <cp:lastModifiedBy>Kristīne Miļevska</cp:lastModifiedBy>
  <cp:revision>2</cp:revision>
  <dcterms:created xsi:type="dcterms:W3CDTF">2021-05-07T16:28:00Z</dcterms:created>
  <dcterms:modified xsi:type="dcterms:W3CDTF">2021-05-07T16:28:00Z</dcterms:modified>
</cp:coreProperties>
</file>