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7FEB6818"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D00D08">
        <w:rPr>
          <w:rFonts w:eastAsia="Times New Roman"/>
          <w:b/>
          <w:bCs/>
          <w:sz w:val="24"/>
          <w:szCs w:val="24"/>
          <w:lang w:eastAsia="lv-LV"/>
        </w:rPr>
        <w:t>i Zemesgrāmatu</w:t>
      </w:r>
      <w:r w:rsidR="00EC1653">
        <w:rPr>
          <w:rFonts w:eastAsia="Times New Roman"/>
          <w:b/>
          <w:bCs/>
          <w:sz w:val="24"/>
          <w:szCs w:val="24"/>
          <w:lang w:eastAsia="lv-LV"/>
        </w:rPr>
        <w:t xml:space="preserve"> </w:t>
      </w:r>
      <w:r w:rsidR="00827AAA" w:rsidRPr="00827AAA">
        <w:rPr>
          <w:rFonts w:eastAsia="Times New Roman"/>
          <w:b/>
          <w:bCs/>
          <w:sz w:val="24"/>
          <w:szCs w:val="24"/>
          <w:lang w:eastAsia="lv-LV"/>
        </w:rPr>
        <w:t>likumā</w:t>
      </w:r>
      <w:r w:rsidR="00827AAA">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61F769D8" w:rsidR="004D15A9" w:rsidRPr="00BC2633" w:rsidRDefault="001C239A" w:rsidP="0009510C">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827AAA">
              <w:rPr>
                <w:rFonts w:eastAsia="Times New Roman"/>
                <w:sz w:val="24"/>
                <w:szCs w:val="24"/>
                <w:lang w:eastAsia="lv-LV"/>
              </w:rPr>
              <w:t>"Grozījum</w:t>
            </w:r>
            <w:r w:rsidR="002932EB">
              <w:rPr>
                <w:rFonts w:eastAsia="Times New Roman"/>
                <w:sz w:val="24"/>
                <w:szCs w:val="24"/>
                <w:lang w:eastAsia="lv-LV"/>
              </w:rPr>
              <w:t>i Zemesgrāmatu</w:t>
            </w:r>
            <w:r w:rsidR="00827AAA" w:rsidRPr="00827AAA">
              <w:rPr>
                <w:rFonts w:eastAsia="Times New Roman"/>
                <w:sz w:val="24"/>
                <w:szCs w:val="24"/>
                <w:lang w:eastAsia="lv-LV"/>
              </w:rPr>
              <w:t xml:space="preserve"> likumā"</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57A1B70E" w14:textId="77777777" w:rsidR="00827AAA" w:rsidRPr="00827AAA" w:rsidRDefault="00827AAA" w:rsidP="00827AAA">
            <w:pPr>
              <w:rPr>
                <w:rFonts w:eastAsia="Times New Roman"/>
                <w:sz w:val="24"/>
                <w:szCs w:val="24"/>
                <w:lang w:eastAsia="lv-LV"/>
              </w:rPr>
            </w:pPr>
          </w:p>
          <w:p w14:paraId="6691C13F" w14:textId="77777777" w:rsidR="00827AAA" w:rsidRPr="00827AAA" w:rsidRDefault="00827AAA" w:rsidP="00827AAA">
            <w:pPr>
              <w:rPr>
                <w:rFonts w:eastAsia="Times New Roman"/>
                <w:sz w:val="24"/>
                <w:szCs w:val="24"/>
                <w:lang w:eastAsia="lv-LV"/>
              </w:rPr>
            </w:pPr>
          </w:p>
          <w:p w14:paraId="65339058"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22C991A6" w14:textId="77777777" w:rsidR="00827AAA" w:rsidRPr="00827AAA" w:rsidRDefault="00827AAA" w:rsidP="00827AAA">
            <w:pPr>
              <w:rPr>
                <w:rFonts w:eastAsia="Times New Roman"/>
                <w:sz w:val="24"/>
                <w:szCs w:val="24"/>
                <w:lang w:eastAsia="lv-LV"/>
              </w:rPr>
            </w:pPr>
          </w:p>
          <w:p w14:paraId="5ECA1E19"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7C960F6A" w14:textId="23D510D1" w:rsidR="005566C4" w:rsidRPr="0084765B" w:rsidRDefault="00580B52" w:rsidP="007B5F1A">
            <w:pPr>
              <w:spacing w:after="0" w:line="240" w:lineRule="auto"/>
              <w:ind w:firstLine="529"/>
              <w:jc w:val="both"/>
              <w:rPr>
                <w:rFonts w:eastAsia="Times New Roman"/>
                <w:sz w:val="24"/>
                <w:szCs w:val="24"/>
              </w:rPr>
            </w:pPr>
            <w:r w:rsidRPr="00580B52">
              <w:rPr>
                <w:rFonts w:eastAsia="Times New Roman"/>
                <w:sz w:val="24"/>
                <w:szCs w:val="24"/>
              </w:rPr>
              <w:t xml:space="preserve">Vairākās </w:t>
            </w:r>
            <w:r>
              <w:rPr>
                <w:rFonts w:eastAsia="Times New Roman"/>
                <w:sz w:val="24"/>
                <w:szCs w:val="24"/>
              </w:rPr>
              <w:t>Zemesgrāmatu</w:t>
            </w:r>
            <w:r w:rsidR="00A4248F">
              <w:rPr>
                <w:rFonts w:eastAsia="Times New Roman"/>
                <w:sz w:val="24"/>
                <w:szCs w:val="24"/>
              </w:rPr>
              <w:t xml:space="preserve"> likuma</w:t>
            </w:r>
            <w:r w:rsidRPr="00580B52">
              <w:rPr>
                <w:rFonts w:eastAsia="Times New Roman"/>
                <w:sz w:val="24"/>
                <w:szCs w:val="24"/>
              </w:rPr>
              <w:t xml:space="preserve"> normās definēta bāriņtiesu kompetence apliecinājumu izdarīšanā. Proti, </w:t>
            </w:r>
            <w:r w:rsidR="002932EB">
              <w:rPr>
                <w:rFonts w:eastAsia="Times New Roman"/>
                <w:sz w:val="24"/>
                <w:szCs w:val="24"/>
              </w:rPr>
              <w:t>Zemesgrāmatu l</w:t>
            </w:r>
            <w:r w:rsidR="005566C4" w:rsidRPr="005566C4">
              <w:rPr>
                <w:rFonts w:eastAsia="Times New Roman"/>
                <w:sz w:val="24"/>
                <w:szCs w:val="24"/>
              </w:rPr>
              <w:t>ikum</w:t>
            </w:r>
            <w:r w:rsidR="005566C4">
              <w:rPr>
                <w:rFonts w:eastAsia="Times New Roman"/>
                <w:sz w:val="24"/>
                <w:szCs w:val="24"/>
              </w:rPr>
              <w:t>a</w:t>
            </w:r>
            <w:r w:rsidR="005566C4" w:rsidRPr="005566C4">
              <w:rPr>
                <w:rFonts w:eastAsia="Times New Roman"/>
                <w:sz w:val="24"/>
                <w:szCs w:val="24"/>
              </w:rPr>
              <w:t xml:space="preserve"> </w:t>
            </w:r>
            <w:r w:rsidR="00A4248F">
              <w:rPr>
                <w:rFonts w:eastAsia="Times New Roman"/>
                <w:sz w:val="24"/>
                <w:szCs w:val="24"/>
              </w:rPr>
              <w:t>58. panta pirmajā daļā noteikts, ka p</w:t>
            </w:r>
            <w:r w:rsidR="00A4248F" w:rsidRPr="00A4248F">
              <w:rPr>
                <w:rFonts w:eastAsia="Times New Roman"/>
                <w:sz w:val="24"/>
                <w:szCs w:val="24"/>
              </w:rPr>
              <w:t>ilnvarojums citai personai lūgt nostiprinājumu jāizteic pilnvarā, ko apliecinājis notārs vai bāriņtiesa</w:t>
            </w:r>
            <w:r w:rsidR="00A4248F">
              <w:rPr>
                <w:rFonts w:eastAsia="Times New Roman"/>
                <w:sz w:val="24"/>
                <w:szCs w:val="24"/>
              </w:rPr>
              <w:t xml:space="preserve">. </w:t>
            </w:r>
            <w:r w:rsidR="0084765B">
              <w:rPr>
                <w:rFonts w:eastAsia="Times New Roman"/>
                <w:sz w:val="24"/>
                <w:szCs w:val="24"/>
              </w:rPr>
              <w:t xml:space="preserve">Zemesgrāmatu likuma 60. panta pirmā daļa paredz, </w:t>
            </w:r>
            <w:r w:rsidR="0084765B" w:rsidRPr="0084765B">
              <w:rPr>
                <w:rFonts w:eastAsia="Times New Roman"/>
                <w:sz w:val="24"/>
                <w:szCs w:val="24"/>
              </w:rPr>
              <w:t>ka p</w:t>
            </w:r>
            <w:r w:rsidR="0084765B" w:rsidRPr="0084765B">
              <w:rPr>
                <w:sz w:val="24"/>
                <w:szCs w:val="24"/>
              </w:rPr>
              <w:t>rivātpersonu parakstiem uz iesniedzamiem nostiprinājuma lūgumiem jābūt notāra vai bāriņtiesas apliecinātiem.</w:t>
            </w:r>
            <w:r w:rsidR="0084765B">
              <w:rPr>
                <w:sz w:val="24"/>
                <w:szCs w:val="24"/>
              </w:rPr>
              <w:t xml:space="preserve"> </w:t>
            </w:r>
            <w:r w:rsidR="00DA7C82">
              <w:rPr>
                <w:sz w:val="24"/>
                <w:szCs w:val="24"/>
              </w:rPr>
              <w:t>Atbilstoši Zemesgrāmatu likuma 68. panta</w:t>
            </w:r>
            <w:r w:rsidR="00B8506C">
              <w:rPr>
                <w:sz w:val="24"/>
                <w:szCs w:val="24"/>
              </w:rPr>
              <w:t>m n</w:t>
            </w:r>
            <w:r w:rsidR="00B8506C" w:rsidRPr="00B8506C">
              <w:rPr>
                <w:sz w:val="24"/>
                <w:szCs w:val="24"/>
              </w:rPr>
              <w:t>ostiprinājumam nepieciešamo piekrišanu var apliecināt</w:t>
            </w:r>
            <w:r w:rsidR="006D16BD">
              <w:rPr>
                <w:sz w:val="24"/>
                <w:szCs w:val="24"/>
              </w:rPr>
              <w:t>,</w:t>
            </w:r>
            <w:r w:rsidR="00B8506C">
              <w:rPr>
                <w:sz w:val="24"/>
                <w:szCs w:val="24"/>
              </w:rPr>
              <w:t xml:space="preserve"> </w:t>
            </w:r>
            <w:r w:rsidR="006D16BD" w:rsidRPr="006D16BD">
              <w:rPr>
                <w:sz w:val="24"/>
                <w:szCs w:val="24"/>
              </w:rPr>
              <w:t>ja piekrišanu dod privātpersona - ar notariāla akta kārtībā taisītu vai notāram apliecināšanai uzrādītu vai bāriņtiesas apliecinātu dokumentu, vai arī tādā veidā, ka šī persona paraksta līdz dokumentu, kas ir par pamatu nostiprinājumam, vai arī paraksta nostiprinājuma lūgumu, pie kam parakstītājas personas rīcības spēju pārbauda notārs vai bāriņtiesa.</w:t>
            </w:r>
          </w:p>
          <w:p w14:paraId="457645AA" w14:textId="1E19DB06"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w:t>
            </w:r>
            <w:r w:rsidR="00D7639C">
              <w:rPr>
                <w:rFonts w:eastAsia="Times New Roman"/>
                <w:sz w:val="24"/>
                <w:szCs w:val="24"/>
              </w:rPr>
              <w:t>personu paraksta īstum</w:t>
            </w:r>
            <w:r w:rsidR="006D16BD">
              <w:rPr>
                <w:rFonts w:eastAsia="Times New Roman"/>
                <w:sz w:val="24"/>
                <w:szCs w:val="24"/>
              </w:rPr>
              <w:t>u, piekrišanas, piln</w:t>
            </w:r>
            <w:r w:rsidR="00ED5FE3">
              <w:rPr>
                <w:rFonts w:eastAsia="Times New Roman"/>
                <w:sz w:val="24"/>
                <w:szCs w:val="24"/>
              </w:rPr>
              <w:t>varas un dokumentu norakstus</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 xml:space="preserve">precizēt </w:t>
            </w:r>
            <w:r w:rsidR="00F6597E">
              <w:rPr>
                <w:rFonts w:eastAsia="Times New Roman"/>
                <w:sz w:val="24"/>
                <w:szCs w:val="24"/>
              </w:rPr>
              <w:t xml:space="preserve">Zemesgrāmatu </w:t>
            </w:r>
            <w:r w:rsidR="00D7639C">
              <w:rPr>
                <w:rFonts w:eastAsia="Times New Roman"/>
                <w:sz w:val="24"/>
                <w:szCs w:val="24"/>
              </w:rPr>
              <w:t>l</w:t>
            </w:r>
            <w:r w:rsidR="00D7639C" w:rsidRPr="00D7639C">
              <w:rPr>
                <w:rFonts w:eastAsia="Times New Roman"/>
                <w:sz w:val="24"/>
                <w:szCs w:val="24"/>
              </w:rPr>
              <w:t xml:space="preserve">ikuma </w:t>
            </w:r>
            <w:r w:rsidR="00F6597E">
              <w:rPr>
                <w:rFonts w:eastAsia="Times New Roman"/>
                <w:sz w:val="24"/>
                <w:szCs w:val="24"/>
              </w:rPr>
              <w:lastRenderedPageBreak/>
              <w:t>minētos pantus</w:t>
            </w:r>
            <w:r w:rsidR="00560C02">
              <w:rPr>
                <w:rFonts w:eastAsia="Times New Roman"/>
                <w:sz w:val="24"/>
                <w:szCs w:val="24"/>
              </w:rPr>
              <w:t>, izslēdzot atsauc</w:t>
            </w:r>
            <w:r w:rsidR="00D7639C">
              <w:rPr>
                <w:rFonts w:eastAsia="Times New Roman"/>
                <w:sz w:val="24"/>
                <w:szCs w:val="24"/>
              </w:rPr>
              <w:t>i</w:t>
            </w:r>
            <w:r w:rsidR="00560C02">
              <w:rPr>
                <w:rFonts w:eastAsia="Times New Roman"/>
                <w:sz w:val="24"/>
                <w:szCs w:val="24"/>
              </w:rPr>
              <w:t xml:space="preserve"> uz bāriņtiesu kompetenci </w:t>
            </w:r>
            <w:r w:rsidR="00381EC4" w:rsidRPr="00381EC4">
              <w:rPr>
                <w:rFonts w:eastAsia="Times New Roman"/>
                <w:sz w:val="24"/>
                <w:szCs w:val="24"/>
              </w:rPr>
              <w:t>šo uzdevumu izpildē</w:t>
            </w:r>
            <w:r w:rsidR="00560C02">
              <w:rPr>
                <w:rFonts w:eastAsia="Times New Roman"/>
                <w:sz w:val="24"/>
                <w:szCs w:val="24"/>
              </w:rPr>
              <w:t>.</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1FAEB6E4"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CB8">
              <w:rPr>
                <w:rFonts w:eastAsia="Times New Roman"/>
                <w:sz w:val="24"/>
                <w:szCs w:val="24"/>
                <w:lang w:eastAsia="lv-LV"/>
              </w:rPr>
              <w:t xml:space="preserve">un personas, kuras vēlēsies </w:t>
            </w:r>
            <w:r w:rsidR="00962A3F">
              <w:rPr>
                <w:rFonts w:eastAsia="Times New Roman"/>
                <w:sz w:val="24"/>
                <w:szCs w:val="24"/>
                <w:lang w:eastAsia="lv-LV"/>
              </w:rPr>
              <w:t xml:space="preserve">saņemt </w:t>
            </w:r>
            <w:r w:rsidR="00962A3F" w:rsidRPr="00192FF3">
              <w:rPr>
                <w:rFonts w:eastAsia="Times New Roman"/>
                <w:sz w:val="24"/>
                <w:szCs w:val="24"/>
                <w:lang w:eastAsia="lv-LV"/>
              </w:rPr>
              <w:t>notariālo palīdzību</w:t>
            </w:r>
            <w:r w:rsidR="00177793">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37107EAD"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472F0B" w:rsidRPr="00472F0B">
              <w:rPr>
                <w:rFonts w:eastAsia="Times New Roman"/>
                <w:iCs/>
                <w:sz w:val="24"/>
                <w:szCs w:val="24"/>
                <w:lang w:eastAsia="lv-LV"/>
              </w:rPr>
              <w:t>bāriņtiesu kompetenci apliecinājumu izdarīšanā un citu Bāriņtiesu likuma VII un VIII nodaļā noteikto uzdevumu izpildē</w:t>
            </w:r>
            <w:r w:rsidR="002C7C46">
              <w:rPr>
                <w:rFonts w:eastAsia="Times New Roman"/>
                <w:iCs/>
                <w:sz w:val="24"/>
                <w:szCs w:val="24"/>
                <w:lang w:eastAsia="lv-LV"/>
              </w:rPr>
              <w:t>.</w:t>
            </w:r>
          </w:p>
          <w:p w14:paraId="12DBBFF5" w14:textId="1FD4DA80" w:rsidR="00703120" w:rsidRPr="00BC2633" w:rsidRDefault="00F560B6" w:rsidP="00F560B6">
            <w:pPr>
              <w:spacing w:after="0" w:line="240" w:lineRule="auto"/>
              <w:ind w:firstLine="529"/>
              <w:jc w:val="both"/>
              <w:rPr>
                <w:rFonts w:eastAsia="Times New Roman"/>
                <w:sz w:val="24"/>
                <w:szCs w:val="24"/>
                <w:lang w:eastAsia="lv-LV"/>
              </w:rPr>
            </w:pPr>
            <w:r w:rsidRPr="00F560B6">
              <w:rPr>
                <w:rFonts w:eastAsia="Times New Roman"/>
                <w:iCs/>
                <w:sz w:val="24"/>
                <w:szCs w:val="24"/>
                <w:lang w:eastAsia="lv-LV"/>
              </w:rPr>
              <w:t xml:space="preserve">Personām notariālās palīdzības saņemšanai būs nepieciešams vērsties pie Latvijas Republikā praktizējošiem zvērinātiem notāriem. Attiecīgi pieaugs zvērinātiem notāriem veicamo pienākumu apjoms, jo pie viņiem vērsīsies saņemt notariālo palīdzību, kuras līdz likumprojektā noteiktā regulējuma spēkā stāšanās brīdim notariālo palīdzību varēja saņemt bāriņtiesās.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31B5ABF0" w:rsidR="00201B6E" w:rsidRPr="00BC2633" w:rsidRDefault="009B3CFF" w:rsidP="009B3CFF">
            <w:pPr>
              <w:spacing w:after="0" w:line="240" w:lineRule="auto"/>
              <w:ind w:firstLine="529"/>
              <w:jc w:val="both"/>
              <w:rPr>
                <w:rFonts w:eastAsia="Times New Roman"/>
                <w:sz w:val="24"/>
                <w:szCs w:val="24"/>
                <w:lang w:eastAsia="lv-LV"/>
              </w:rPr>
            </w:pPr>
            <w:r w:rsidRPr="009B3CFF">
              <w:rPr>
                <w:rFonts w:eastAsia="Times New Roman"/>
                <w:sz w:val="24"/>
                <w:szCs w:val="24"/>
                <w:lang w:eastAsia="lv-LV"/>
              </w:rPr>
              <w:t>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 un valsts nodevu par notariālo darbību izpildi saskaņā ar Ministru kabineta 2009. gada 22. septembra noteikumiem Nr. 1069 "Noteikumi par valsts nodevu par notariālo darbību izpildi". Vienlaikus nav prognozējams, cik personas un kādu darbību veikšanai vērsīsies pie zvērinātiem notāriem, kā arī, cik personas un kādā apmērā tiks atbrīvotas no zvērināta notāra atlīdzības takses un valsts nodevas samaksas.</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6AE5ECFC" w:rsidR="003C5F51" w:rsidRDefault="000927C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3C5F51">
              <w:rPr>
                <w:rFonts w:eastAsia="Calibri"/>
                <w:sz w:val="24"/>
                <w:szCs w:val="24"/>
              </w:rPr>
              <w:t>ikumā</w:t>
            </w:r>
            <w:r>
              <w:rPr>
                <w:rFonts w:eastAsia="Calibri"/>
                <w:sz w:val="24"/>
                <w:szCs w:val="24"/>
              </w:rPr>
              <w:t xml:space="preserve"> "</w:t>
            </w:r>
            <w:r w:rsidRPr="000927C1">
              <w:rPr>
                <w:rFonts w:eastAsia="Calibri"/>
                <w:sz w:val="24"/>
                <w:szCs w:val="24"/>
              </w:rPr>
              <w:t>Par Latvijas Republikas Uzņēmumu reģistru</w:t>
            </w:r>
            <w:r>
              <w:rPr>
                <w:rFonts w:eastAsia="Calibri"/>
                <w:sz w:val="24"/>
                <w:szCs w:val="24"/>
              </w:rPr>
              <w:t>"</w:t>
            </w:r>
            <w:r w:rsidR="003C5F51">
              <w:rPr>
                <w:rFonts w:eastAsia="Calibri"/>
                <w:sz w:val="24"/>
                <w:szCs w:val="24"/>
              </w:rPr>
              <w:t>;</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lastRenderedPageBreak/>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66BA5FFF" w:rsidR="004D15A9" w:rsidRPr="00D933F5" w:rsidRDefault="007F67FB" w:rsidP="0009510C">
            <w:pPr>
              <w:spacing w:after="0" w:line="240" w:lineRule="auto"/>
              <w:ind w:firstLine="545"/>
              <w:jc w:val="both"/>
              <w:rPr>
                <w:rFonts w:eastAsia="Times New Roman"/>
                <w:sz w:val="24"/>
                <w:szCs w:val="24"/>
                <w:lang w:eastAsia="lv-LV"/>
              </w:rPr>
            </w:pPr>
            <w:r w:rsidRPr="007F67FB">
              <w:rPr>
                <w:rFonts w:eastAsia="Times New Roman"/>
                <w:bCs/>
                <w:sz w:val="24"/>
                <w:szCs w:val="24"/>
                <w:lang w:eastAsia="lv-LV"/>
              </w:rPr>
              <w:t xml:space="preserve">Tieslietu ministrija 2020. gada </w:t>
            </w:r>
            <w:r w:rsidR="001D42C3" w:rsidRPr="001D42C3">
              <w:rPr>
                <w:rFonts w:eastAsia="Times New Roman"/>
                <w:bCs/>
                <w:sz w:val="24"/>
                <w:szCs w:val="24"/>
                <w:lang w:eastAsia="lv-LV"/>
              </w:rPr>
              <w:t>2</w:t>
            </w:r>
            <w:r w:rsidRPr="001D42C3">
              <w:rPr>
                <w:rFonts w:eastAsia="Times New Roman"/>
                <w:bCs/>
                <w:sz w:val="24"/>
                <w:szCs w:val="24"/>
                <w:lang w:eastAsia="lv-LV"/>
              </w:rPr>
              <w:t>. </w:t>
            </w:r>
            <w:r w:rsidR="007307D3" w:rsidRPr="001D42C3">
              <w:rPr>
                <w:rFonts w:eastAsia="Times New Roman"/>
                <w:bCs/>
                <w:sz w:val="24"/>
                <w:szCs w:val="24"/>
                <w:lang w:eastAsia="lv-LV"/>
              </w:rPr>
              <w:t>jūni</w:t>
            </w:r>
            <w:r w:rsidRPr="001D42C3">
              <w:rPr>
                <w:rFonts w:eastAsia="Times New Roman"/>
                <w:bCs/>
                <w:sz w:val="24"/>
                <w:szCs w:val="24"/>
                <w:lang w:eastAsia="lv-LV"/>
              </w:rPr>
              <w:t xml:space="preserve">jā </w:t>
            </w:r>
            <w:r w:rsidR="0034166C" w:rsidRPr="001D42C3">
              <w:rPr>
                <w:rFonts w:eastAsia="Times New Roman"/>
                <w:bCs/>
                <w:sz w:val="24"/>
                <w:szCs w:val="24"/>
                <w:lang w:eastAsia="lv-LV"/>
              </w:rPr>
              <w:t>likum</w:t>
            </w:r>
            <w:r w:rsidRPr="001D42C3">
              <w:rPr>
                <w:rFonts w:eastAsia="Times New Roman"/>
                <w:bCs/>
                <w:sz w:val="24"/>
                <w:szCs w:val="24"/>
                <w:lang w:eastAsia="lv-LV"/>
              </w:rPr>
              <w:t xml:space="preserve">projektu ievietoja savā tīmekļvietnē sadaļā "Sabiedrības līdzdalība" (pieejams: </w:t>
            </w:r>
            <w:hyperlink r:id="rId8" w:history="1">
              <w:r w:rsidRPr="001D42C3">
                <w:rPr>
                  <w:rStyle w:val="Hyperlink"/>
                  <w:rFonts w:eastAsia="Times New Roman"/>
                  <w:bCs/>
                  <w:sz w:val="24"/>
                  <w:szCs w:val="24"/>
                  <w:lang w:eastAsia="lv-LV"/>
                </w:rPr>
                <w:t>https://www.tm.gov.lv/lv/sabiedribas-lidzdaliba/diskusiju-dokumenti/tiesibu-akti</w:t>
              </w:r>
            </w:hyperlink>
            <w:r w:rsidRPr="001D42C3">
              <w:rPr>
                <w:rFonts w:eastAsia="Times New Roman"/>
                <w:bCs/>
                <w:sz w:val="24"/>
                <w:szCs w:val="24"/>
                <w:lang w:eastAsia="lv-LV"/>
              </w:rPr>
              <w:t xml:space="preserve">), kā arī </w:t>
            </w:r>
            <w:r w:rsidR="0034166C" w:rsidRPr="001D42C3">
              <w:rPr>
                <w:rFonts w:eastAsia="Times New Roman"/>
                <w:bCs/>
                <w:sz w:val="24"/>
                <w:szCs w:val="24"/>
                <w:lang w:eastAsia="lv-LV"/>
              </w:rPr>
              <w:t>likum</w:t>
            </w:r>
            <w:r w:rsidRPr="001D42C3">
              <w:rPr>
                <w:rFonts w:eastAsia="Times New Roman"/>
                <w:bCs/>
                <w:sz w:val="24"/>
                <w:szCs w:val="24"/>
                <w:lang w:eastAsia="lv-LV"/>
              </w:rPr>
              <w:t xml:space="preserve">projekts tika ievietots Valsts kancelejas tīmekļvietnē sadaļā "Ministru kabineta diskusiju dokumenti" (pieejams: </w:t>
            </w:r>
            <w:hyperlink r:id="rId9" w:history="1">
              <w:r w:rsidRPr="001D42C3">
                <w:rPr>
                  <w:rStyle w:val="Hyperlink"/>
                  <w:rFonts w:eastAsia="Times New Roman"/>
                  <w:bCs/>
                  <w:sz w:val="24"/>
                  <w:szCs w:val="24"/>
                  <w:lang w:eastAsia="lv-LV"/>
                </w:rPr>
                <w:t>https://mk.gov.lv/content/ministru-kabineta-diskusiju-dokume</w:t>
              </w:r>
              <w:bookmarkStart w:id="1" w:name="_GoBack"/>
              <w:bookmarkEnd w:id="1"/>
              <w:r w:rsidRPr="001D42C3">
                <w:rPr>
                  <w:rStyle w:val="Hyperlink"/>
                  <w:rFonts w:eastAsia="Times New Roman"/>
                  <w:bCs/>
                  <w:sz w:val="24"/>
                  <w:szCs w:val="24"/>
                  <w:lang w:eastAsia="lv-LV"/>
                </w:rPr>
                <w:t>nti</w:t>
              </w:r>
            </w:hyperlink>
            <w:r w:rsidRPr="001D42C3">
              <w:rPr>
                <w:rFonts w:eastAsia="Times New Roman"/>
                <w:bCs/>
                <w:sz w:val="24"/>
                <w:szCs w:val="24"/>
                <w:lang w:eastAsia="lv-LV"/>
              </w:rPr>
              <w:t xml:space="preserve">), tādējādi dodot iespēju sabiedrībai līdzdarboties tiesību akta izstrādes procesā. Sabiedrībai bija iespēja līdz 2020. gada </w:t>
            </w:r>
            <w:r w:rsidR="006B3F07" w:rsidRPr="001D42C3">
              <w:rPr>
                <w:rFonts w:eastAsia="Times New Roman"/>
                <w:bCs/>
                <w:sz w:val="24"/>
                <w:szCs w:val="24"/>
                <w:lang w:eastAsia="lv-LV"/>
              </w:rPr>
              <w:t>1</w:t>
            </w:r>
            <w:r w:rsidR="001D42C3" w:rsidRPr="001D42C3">
              <w:rPr>
                <w:rFonts w:eastAsia="Times New Roman"/>
                <w:bCs/>
                <w:sz w:val="24"/>
                <w:szCs w:val="24"/>
                <w:lang w:eastAsia="lv-LV"/>
              </w:rPr>
              <w:t>5</w:t>
            </w:r>
            <w:r w:rsidRPr="001D42C3">
              <w:rPr>
                <w:rFonts w:eastAsia="Times New Roman"/>
                <w:bCs/>
                <w:sz w:val="24"/>
                <w:szCs w:val="24"/>
                <w:lang w:eastAsia="lv-LV"/>
              </w:rPr>
              <w:t>. </w:t>
            </w:r>
            <w:r w:rsidR="006B3F07" w:rsidRPr="001D42C3">
              <w:rPr>
                <w:rFonts w:eastAsia="Times New Roman"/>
                <w:bCs/>
                <w:sz w:val="24"/>
                <w:szCs w:val="24"/>
                <w:lang w:eastAsia="lv-LV"/>
              </w:rPr>
              <w:t>jūni</w:t>
            </w:r>
            <w:r w:rsidRPr="001D42C3">
              <w:rPr>
                <w:rFonts w:eastAsia="Times New Roman"/>
                <w:bCs/>
                <w:sz w:val="24"/>
                <w:szCs w:val="24"/>
                <w:lang w:eastAsia="lv-LV"/>
              </w:rPr>
              <w:t>jam sniegt</w:t>
            </w:r>
            <w:r w:rsidRPr="007F67FB">
              <w:rPr>
                <w:rFonts w:eastAsia="Times New Roman"/>
                <w:bCs/>
                <w:sz w:val="24"/>
                <w:szCs w:val="24"/>
                <w:lang w:eastAsia="lv-LV"/>
              </w:rPr>
              <w:t xml:space="preserve"> rakstisku viedokli Tieslietu ministrijai par izstrādāto </w:t>
            </w:r>
            <w:r w:rsidR="000322A6">
              <w:rPr>
                <w:rFonts w:eastAsia="Times New Roman"/>
                <w:bCs/>
                <w:sz w:val="24"/>
                <w:szCs w:val="24"/>
                <w:lang w:eastAsia="lv-LV"/>
              </w:rPr>
              <w:t>likum</w:t>
            </w:r>
            <w:r w:rsidRPr="007F67FB">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933F5" w:rsidRDefault="000322A6" w:rsidP="0009510C">
            <w:pPr>
              <w:spacing w:after="0" w:line="240" w:lineRule="auto"/>
              <w:ind w:firstLine="545"/>
              <w:jc w:val="both"/>
              <w:rPr>
                <w:rFonts w:eastAsia="Times New Roman"/>
                <w:sz w:val="24"/>
                <w:szCs w:val="24"/>
                <w:lang w:eastAsia="lv-LV"/>
              </w:rPr>
            </w:pPr>
            <w:r w:rsidRPr="000322A6">
              <w:rPr>
                <w:rFonts w:eastAsia="Times New Roman"/>
                <w:bCs/>
                <w:sz w:val="24"/>
                <w:szCs w:val="24"/>
                <w:lang w:eastAsia="lv-LV"/>
              </w:rPr>
              <w:t xml:space="preserve">Pēc </w:t>
            </w:r>
            <w:r>
              <w:rPr>
                <w:rFonts w:eastAsia="Times New Roman"/>
                <w:bCs/>
                <w:sz w:val="24"/>
                <w:szCs w:val="24"/>
                <w:lang w:eastAsia="lv-LV"/>
              </w:rPr>
              <w:t>likum</w:t>
            </w:r>
            <w:r w:rsidRPr="000322A6">
              <w:rPr>
                <w:rFonts w:eastAsia="Times New Roman"/>
                <w:bCs/>
                <w:sz w:val="24"/>
                <w:szCs w:val="24"/>
                <w:lang w:eastAsia="lv-LV"/>
              </w:rPr>
              <w:t xml:space="preserve">projekta ievietošanas Tieslietu ministrijas un Valsts kancelejas tīmekļvietnē viedokļi par </w:t>
            </w:r>
            <w:r>
              <w:rPr>
                <w:rFonts w:eastAsia="Times New Roman"/>
                <w:bCs/>
                <w:sz w:val="24"/>
                <w:szCs w:val="24"/>
                <w:lang w:eastAsia="lv-LV"/>
              </w:rPr>
              <w:t>likum</w:t>
            </w:r>
            <w:r w:rsidRPr="000322A6">
              <w:rPr>
                <w:rFonts w:eastAsia="Times New Roman"/>
                <w:bCs/>
                <w:sz w:val="24"/>
                <w:szCs w:val="24"/>
                <w:lang w:eastAsia="lv-LV"/>
              </w:rPr>
              <w:t xml:space="preserve">projektu no sabiedrības pārstāvju puses </w:t>
            </w:r>
            <w:r w:rsidRPr="006B3F07">
              <w:rPr>
                <w:rFonts w:eastAsia="Times New Roman"/>
                <w:bCs/>
                <w:sz w:val="24"/>
                <w:szCs w:val="24"/>
                <w:lang w:eastAsia="lv-LV"/>
              </w:rPr>
              <w:t>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746163E4"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694373" w:rsidRPr="00694373">
              <w:rPr>
                <w:rFonts w:eastAsia="Times New Roman"/>
                <w:sz w:val="24"/>
                <w:szCs w:val="24"/>
                <w:lang w:eastAsia="lv-LV"/>
              </w:rPr>
              <w:t xml:space="preserve">Likumprojekts svītro atsauci uz bāriņtiesu kompetenci apliecinājumu izdarīšanā un citu Bāriņtiesu likuma VII un VIII nodaļā noteikto uzdevumu izpildē, tādējādi </w:t>
            </w:r>
            <w:hyperlink r:id="rId10" w:tgtFrame="_top" w:history="1">
              <w:r w:rsidR="00694373" w:rsidRPr="00694373">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1D42C3" w:rsidP="006D1CD9">
      <w:pPr>
        <w:spacing w:after="0" w:line="240" w:lineRule="auto"/>
        <w:rPr>
          <w:sz w:val="22"/>
          <w:szCs w:val="22"/>
        </w:rPr>
      </w:pPr>
      <w:hyperlink r:id="rId1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D43E8" w14:textId="77777777" w:rsidR="00742F24" w:rsidRDefault="00742F24" w:rsidP="004D15A9">
      <w:pPr>
        <w:spacing w:after="0" w:line="240" w:lineRule="auto"/>
      </w:pPr>
      <w:r>
        <w:separator/>
      </w:r>
    </w:p>
  </w:endnote>
  <w:endnote w:type="continuationSeparator" w:id="0">
    <w:p w14:paraId="21861666" w14:textId="77777777" w:rsidR="00742F24" w:rsidRDefault="00742F24"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5640DFF5" w:rsidR="004D15A9" w:rsidRPr="0042645D" w:rsidRDefault="006B3F07" w:rsidP="0042645D">
    <w:pPr>
      <w:pStyle w:val="Footer"/>
    </w:pPr>
    <w:r>
      <w:fldChar w:fldCharType="begin"/>
    </w:r>
    <w:r>
      <w:instrText xml:space="preserve"> FILENAME   \* MERGEFORMAT </w:instrText>
    </w:r>
    <w:r>
      <w:fldChar w:fldCharType="separate"/>
    </w:r>
    <w:r w:rsidR="00C26E82">
      <w:rPr>
        <w:noProof/>
      </w:rPr>
      <w:t>TMAnot_</w:t>
    </w:r>
    <w:r w:rsidR="007307D3">
      <w:rPr>
        <w:noProof/>
      </w:rPr>
      <w:t>0</w:t>
    </w:r>
    <w:r w:rsidR="001D42C3">
      <w:rPr>
        <w:noProof/>
      </w:rPr>
      <w:t>2</w:t>
    </w:r>
    <w:r w:rsidR="007307D3">
      <w:rPr>
        <w:noProof/>
      </w:rPr>
      <w:t>06</w:t>
    </w:r>
    <w:r w:rsidR="004C1641">
      <w:rPr>
        <w:noProof/>
      </w:rPr>
      <w:t>20_</w:t>
    </w:r>
    <w:r w:rsidR="00844D6E">
      <w:rPr>
        <w:noProof/>
      </w:rPr>
      <w:t>ZG</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4E5DD486" w:rsidR="004D15A9" w:rsidRPr="0042645D" w:rsidRDefault="006B3F07" w:rsidP="0042645D">
    <w:pPr>
      <w:pStyle w:val="Footer"/>
    </w:pPr>
    <w:r>
      <w:fldChar w:fldCharType="begin"/>
    </w:r>
    <w:r>
      <w:instrText xml:space="preserve"> FILENAME   \* MERGEFORMAT </w:instrText>
    </w:r>
    <w:r>
      <w:fldChar w:fldCharType="separate"/>
    </w:r>
    <w:r w:rsidR="00C26E82">
      <w:rPr>
        <w:noProof/>
      </w:rPr>
      <w:t>TMAnot_</w:t>
    </w:r>
    <w:r w:rsidR="007307D3">
      <w:rPr>
        <w:noProof/>
      </w:rPr>
      <w:t>0</w:t>
    </w:r>
    <w:r w:rsidR="001D42C3">
      <w:rPr>
        <w:noProof/>
      </w:rPr>
      <w:t>2</w:t>
    </w:r>
    <w:r w:rsidR="007307D3">
      <w:rPr>
        <w:noProof/>
      </w:rPr>
      <w:t>06</w:t>
    </w:r>
    <w:r w:rsidR="004C1641">
      <w:rPr>
        <w:noProof/>
      </w:rPr>
      <w:t>20_</w:t>
    </w:r>
    <w:r w:rsidR="00844D6E">
      <w:rPr>
        <w:noProof/>
      </w:rPr>
      <w:t>ZG</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C5E4" w14:textId="77777777" w:rsidR="00742F24" w:rsidRDefault="00742F24" w:rsidP="004D15A9">
      <w:pPr>
        <w:spacing w:after="0" w:line="240" w:lineRule="auto"/>
      </w:pPr>
      <w:r>
        <w:separator/>
      </w:r>
    </w:p>
  </w:footnote>
  <w:footnote w:type="continuationSeparator" w:id="0">
    <w:p w14:paraId="610CA34A" w14:textId="77777777" w:rsidR="00742F24" w:rsidRDefault="00742F24"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27C1"/>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653C"/>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7149"/>
    <w:rsid w:val="001B7B1B"/>
    <w:rsid w:val="001B7D38"/>
    <w:rsid w:val="001C0553"/>
    <w:rsid w:val="001C0C42"/>
    <w:rsid w:val="001C239A"/>
    <w:rsid w:val="001C5969"/>
    <w:rsid w:val="001C7839"/>
    <w:rsid w:val="001D0AE7"/>
    <w:rsid w:val="001D42C3"/>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4761F"/>
    <w:rsid w:val="0025108C"/>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32EB"/>
    <w:rsid w:val="00295854"/>
    <w:rsid w:val="002A1F5E"/>
    <w:rsid w:val="002A3A8A"/>
    <w:rsid w:val="002A4B22"/>
    <w:rsid w:val="002B0594"/>
    <w:rsid w:val="002B0DBC"/>
    <w:rsid w:val="002B1B25"/>
    <w:rsid w:val="002B1E23"/>
    <w:rsid w:val="002C43AF"/>
    <w:rsid w:val="002C50B4"/>
    <w:rsid w:val="002C5101"/>
    <w:rsid w:val="002C544B"/>
    <w:rsid w:val="002C570A"/>
    <w:rsid w:val="002C6AE9"/>
    <w:rsid w:val="002C7C46"/>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70500"/>
    <w:rsid w:val="00375343"/>
    <w:rsid w:val="003803BC"/>
    <w:rsid w:val="00381EC4"/>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7CDD"/>
    <w:rsid w:val="003F1E44"/>
    <w:rsid w:val="003F4C55"/>
    <w:rsid w:val="003F538C"/>
    <w:rsid w:val="003F5AA5"/>
    <w:rsid w:val="00400230"/>
    <w:rsid w:val="00400573"/>
    <w:rsid w:val="00400EDB"/>
    <w:rsid w:val="00402D39"/>
    <w:rsid w:val="00404142"/>
    <w:rsid w:val="00407580"/>
    <w:rsid w:val="0041023D"/>
    <w:rsid w:val="00411C30"/>
    <w:rsid w:val="00412FE8"/>
    <w:rsid w:val="00416236"/>
    <w:rsid w:val="00417AFC"/>
    <w:rsid w:val="0042281B"/>
    <w:rsid w:val="0042645D"/>
    <w:rsid w:val="00430411"/>
    <w:rsid w:val="0043541A"/>
    <w:rsid w:val="00435DC5"/>
    <w:rsid w:val="00436343"/>
    <w:rsid w:val="00440546"/>
    <w:rsid w:val="00444B7C"/>
    <w:rsid w:val="00445961"/>
    <w:rsid w:val="00446E73"/>
    <w:rsid w:val="00454B1A"/>
    <w:rsid w:val="00461275"/>
    <w:rsid w:val="004615D7"/>
    <w:rsid w:val="004635E0"/>
    <w:rsid w:val="004672F4"/>
    <w:rsid w:val="00467EE6"/>
    <w:rsid w:val="00472F0B"/>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0B52"/>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94373"/>
    <w:rsid w:val="006A1C25"/>
    <w:rsid w:val="006A5092"/>
    <w:rsid w:val="006A5352"/>
    <w:rsid w:val="006A79D8"/>
    <w:rsid w:val="006B1470"/>
    <w:rsid w:val="006B3F07"/>
    <w:rsid w:val="006B55C0"/>
    <w:rsid w:val="006B627C"/>
    <w:rsid w:val="006B770F"/>
    <w:rsid w:val="006C6F86"/>
    <w:rsid w:val="006D066C"/>
    <w:rsid w:val="006D16BD"/>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1C96"/>
    <w:rsid w:val="007136A0"/>
    <w:rsid w:val="00714FA3"/>
    <w:rsid w:val="007307D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25AF"/>
    <w:rsid w:val="00795710"/>
    <w:rsid w:val="007965B5"/>
    <w:rsid w:val="007A0E67"/>
    <w:rsid w:val="007A165C"/>
    <w:rsid w:val="007A1836"/>
    <w:rsid w:val="007A7E12"/>
    <w:rsid w:val="007B37E0"/>
    <w:rsid w:val="007B52E5"/>
    <w:rsid w:val="007B5F1A"/>
    <w:rsid w:val="007C027C"/>
    <w:rsid w:val="007C2BB4"/>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27AAA"/>
    <w:rsid w:val="00831BD8"/>
    <w:rsid w:val="00836373"/>
    <w:rsid w:val="00837A05"/>
    <w:rsid w:val="0084036F"/>
    <w:rsid w:val="00841836"/>
    <w:rsid w:val="00842FDC"/>
    <w:rsid w:val="00843242"/>
    <w:rsid w:val="00844D6E"/>
    <w:rsid w:val="0084736A"/>
    <w:rsid w:val="0084765B"/>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2A3F"/>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2848"/>
    <w:rsid w:val="009B0FDF"/>
    <w:rsid w:val="009B312B"/>
    <w:rsid w:val="009B3CFF"/>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1D2F"/>
    <w:rsid w:val="009F277F"/>
    <w:rsid w:val="00A005D6"/>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248F"/>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8506C"/>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BA0"/>
    <w:rsid w:val="00CD6BC8"/>
    <w:rsid w:val="00CE0917"/>
    <w:rsid w:val="00CE2E8B"/>
    <w:rsid w:val="00CE4D88"/>
    <w:rsid w:val="00CE694B"/>
    <w:rsid w:val="00CF0137"/>
    <w:rsid w:val="00CF1EAB"/>
    <w:rsid w:val="00CF2E0F"/>
    <w:rsid w:val="00CF34E7"/>
    <w:rsid w:val="00CF4541"/>
    <w:rsid w:val="00D00677"/>
    <w:rsid w:val="00D00D08"/>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A7C82"/>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E3"/>
    <w:rsid w:val="00ED5FF9"/>
    <w:rsid w:val="00EE3F2D"/>
    <w:rsid w:val="00EE46B0"/>
    <w:rsid w:val="00EE5C88"/>
    <w:rsid w:val="00EE6C55"/>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0B6"/>
    <w:rsid w:val="00F56BFC"/>
    <w:rsid w:val="00F61260"/>
    <w:rsid w:val="00F61978"/>
    <w:rsid w:val="00F6597E"/>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Albering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m-doclogix.ts.gov.lv/doclogix/Common/Form.aspx?ID=1636288&amp;Referrer=2112fb92-2257-4fd6-b5b7-131fa6c8733c"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8B12-653D-4E44-9177-2DB18170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1694</Words>
  <Characters>9656</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Zemesgrāmatu 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11328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Zemesgrāmatu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5</cp:revision>
  <cp:lastPrinted>2019-08-09T05:19:00Z</cp:lastPrinted>
  <dcterms:created xsi:type="dcterms:W3CDTF">2020-06-01T11:25:00Z</dcterms:created>
  <dcterms:modified xsi:type="dcterms:W3CDTF">2020-06-01T13:53:00Z</dcterms:modified>
  <cp:category/>
</cp:coreProperties>
</file>